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21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F767A1" w:rsidRPr="007C2B02" w:rsidTr="005B7500">
        <w:tc>
          <w:tcPr>
            <w:tcW w:w="1985" w:type="dxa"/>
          </w:tcPr>
          <w:p w:rsidR="005B7500" w:rsidRPr="007C2B02" w:rsidRDefault="00F767A1" w:rsidP="005B7500">
            <w:pPr>
              <w:rPr>
                <w:lang w:val="hu-HU"/>
              </w:rPr>
            </w:pPr>
            <w:r w:rsidRPr="007C2B02">
              <w:rPr>
                <w:rFonts w:ascii="Arial" w:eastAsia="Calibri" w:hAnsi="Arial" w:cs="Arial"/>
                <w:szCs w:val="22"/>
                <w:lang w:val="hu-HU" w:eastAsia="zh-CN"/>
              </w:rPr>
              <w:object w:dxaOrig="163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8.25pt" o:ole="" filled="t">
                  <v:fill color2="black"/>
                  <v:imagedata r:id="rId9" o:title=""/>
                </v:shape>
                <o:OLEObject Type="Embed" ProgID="PBrush" ShapeID="_x0000_i1025" DrawAspect="Content" ObjectID="_1513604874" r:id="rId10"/>
              </w:object>
            </w:r>
          </w:p>
        </w:tc>
        <w:tc>
          <w:tcPr>
            <w:tcW w:w="7229" w:type="dxa"/>
          </w:tcPr>
          <w:p w:rsidR="00F767A1" w:rsidRPr="007C2B02" w:rsidRDefault="00F767A1" w:rsidP="00F767A1">
            <w:pPr>
              <w:rPr>
                <w:lang w:val="hu-HU"/>
              </w:rPr>
            </w:pPr>
          </w:p>
          <w:p w:rsidR="005B7500" w:rsidRPr="007C2B02" w:rsidRDefault="005B7500" w:rsidP="00F767A1">
            <w:pPr>
              <w:jc w:val="center"/>
              <w:rPr>
                <w:b/>
                <w:lang w:val="hu-HU"/>
              </w:rPr>
            </w:pPr>
          </w:p>
          <w:p w:rsidR="006323F7" w:rsidRPr="007C2B02" w:rsidRDefault="006323F7" w:rsidP="00F767A1">
            <w:pPr>
              <w:jc w:val="center"/>
              <w:rPr>
                <w:b/>
                <w:lang w:val="hu-HU"/>
              </w:rPr>
            </w:pPr>
            <w:r w:rsidRPr="007C2B02">
              <w:rPr>
                <w:b/>
                <w:lang w:val="hu-HU"/>
              </w:rPr>
              <w:t>Mozgáskorlátozottak Egyesületeinek Országos Szövetsége</w:t>
            </w:r>
          </w:p>
          <w:p w:rsidR="00F767A1" w:rsidRPr="007C2B02" w:rsidRDefault="00F767A1" w:rsidP="00F767A1">
            <w:pPr>
              <w:jc w:val="center"/>
              <w:rPr>
                <w:b/>
                <w:lang w:val="hu-HU"/>
              </w:rPr>
            </w:pPr>
            <w:r w:rsidRPr="007C2B02">
              <w:rPr>
                <w:b/>
                <w:lang w:val="hu-HU"/>
              </w:rPr>
              <w:t>(MEOSZ)</w:t>
            </w:r>
          </w:p>
          <w:p w:rsidR="005B7500" w:rsidRPr="007C2B02" w:rsidRDefault="005B7500" w:rsidP="005B7500">
            <w:pPr>
              <w:jc w:val="center"/>
              <w:rPr>
                <w:lang w:val="hu-HU"/>
              </w:rPr>
            </w:pPr>
            <w:r w:rsidRPr="007C2B02">
              <w:rPr>
                <w:lang w:val="hu-HU"/>
              </w:rPr>
              <w:t>tel/fax: +36 1 250-9013</w:t>
            </w:r>
          </w:p>
          <w:p w:rsidR="005B7500" w:rsidRPr="007C2B02" w:rsidRDefault="00FB7BCE" w:rsidP="00F767A1">
            <w:pPr>
              <w:jc w:val="center"/>
              <w:rPr>
                <w:lang w:val="hu-HU"/>
              </w:rPr>
            </w:pPr>
            <w:r w:rsidRPr="007C2B02">
              <w:rPr>
                <w:lang w:val="hu-HU"/>
              </w:rPr>
              <w:t>cím</w:t>
            </w:r>
            <w:r w:rsidR="005B7500" w:rsidRPr="007C2B02">
              <w:rPr>
                <w:lang w:val="hu-HU"/>
              </w:rPr>
              <w:t>:1032 Budapest, San Marco u. 76.</w:t>
            </w:r>
          </w:p>
          <w:p w:rsidR="00F767A1" w:rsidRPr="007C2B02" w:rsidRDefault="00F767A1" w:rsidP="005B7500">
            <w:pPr>
              <w:tabs>
                <w:tab w:val="left" w:pos="6495"/>
              </w:tabs>
              <w:jc w:val="center"/>
              <w:rPr>
                <w:lang w:val="hu-HU"/>
              </w:rPr>
            </w:pPr>
            <w:r w:rsidRPr="007C2B02">
              <w:rPr>
                <w:lang w:val="hu-HU"/>
              </w:rPr>
              <w:t xml:space="preserve">email: </w:t>
            </w:r>
            <w:hyperlink r:id="rId11" w:history="1">
              <w:r w:rsidRPr="007C2B02">
                <w:rPr>
                  <w:rStyle w:val="Hiperhivatkozs"/>
                  <w:lang w:val="hu-HU"/>
                </w:rPr>
                <w:t>meosz@meosz.hu</w:t>
              </w:r>
            </w:hyperlink>
            <w:r w:rsidRPr="007C2B02">
              <w:rPr>
                <w:lang w:val="hu-HU"/>
              </w:rPr>
              <w:t xml:space="preserve">, web: </w:t>
            </w:r>
            <w:hyperlink r:id="rId12" w:history="1">
              <w:r w:rsidRPr="007C2B02">
                <w:rPr>
                  <w:rStyle w:val="Hiperhivatkozs"/>
                  <w:lang w:val="hu-HU"/>
                </w:rPr>
                <w:t>www.meosz.hu</w:t>
              </w:r>
            </w:hyperlink>
          </w:p>
          <w:p w:rsidR="005B7500" w:rsidRPr="007C2B02" w:rsidRDefault="005B7500" w:rsidP="005B7500">
            <w:pPr>
              <w:tabs>
                <w:tab w:val="left" w:pos="6495"/>
              </w:tabs>
              <w:jc w:val="center"/>
              <w:rPr>
                <w:sz w:val="12"/>
                <w:szCs w:val="12"/>
                <w:lang w:val="hu-HU"/>
              </w:rPr>
            </w:pPr>
          </w:p>
        </w:tc>
      </w:tr>
    </w:tbl>
    <w:p w:rsidR="00F767A1" w:rsidRPr="007C2B02" w:rsidRDefault="00F767A1" w:rsidP="00682967">
      <w:pPr>
        <w:ind w:left="1701" w:hanging="1701"/>
        <w:rPr>
          <w:lang w:val="hu-HU"/>
        </w:rPr>
      </w:pPr>
    </w:p>
    <w:p w:rsidR="00193C34" w:rsidRPr="007C2B02" w:rsidRDefault="00193C34" w:rsidP="00682967">
      <w:pPr>
        <w:ind w:left="1701" w:hanging="1701"/>
        <w:rPr>
          <w:lang w:val="hu-HU"/>
        </w:rPr>
      </w:pPr>
    </w:p>
    <w:p w:rsidR="006323F7" w:rsidRPr="007C2B02" w:rsidRDefault="006323F7" w:rsidP="006323F7">
      <w:pPr>
        <w:jc w:val="center"/>
        <w:rPr>
          <w:b/>
          <w:sz w:val="32"/>
          <w:szCs w:val="32"/>
          <w:lang w:val="hu-HU"/>
        </w:rPr>
      </w:pPr>
      <w:r w:rsidRPr="007C2B02">
        <w:rPr>
          <w:b/>
          <w:sz w:val="32"/>
          <w:szCs w:val="32"/>
          <w:lang w:val="hu-HU"/>
        </w:rPr>
        <w:t>Írásos Vélemény az inkluzív oktatáshoz való jogról,</w:t>
      </w:r>
    </w:p>
    <w:p w:rsidR="006323F7" w:rsidRPr="007C2B02" w:rsidRDefault="006323F7" w:rsidP="006323F7">
      <w:pPr>
        <w:jc w:val="center"/>
        <w:rPr>
          <w:b/>
          <w:sz w:val="32"/>
          <w:szCs w:val="32"/>
          <w:lang w:val="hu-HU"/>
        </w:rPr>
      </w:pPr>
      <w:proofErr w:type="gramStart"/>
      <w:r w:rsidRPr="007C2B02">
        <w:rPr>
          <w:b/>
          <w:sz w:val="32"/>
          <w:szCs w:val="32"/>
          <w:lang w:val="hu-HU"/>
        </w:rPr>
        <w:t>a</w:t>
      </w:r>
      <w:proofErr w:type="gramEnd"/>
      <w:r w:rsidRPr="007C2B02">
        <w:rPr>
          <w:b/>
          <w:sz w:val="32"/>
          <w:szCs w:val="32"/>
          <w:lang w:val="hu-HU"/>
        </w:rPr>
        <w:t xml:space="preserve"> Fogyatékossággal élő személyek jogairól szóló ENSZ Egyezmény 24 cikkéről szóló  4. számú Általános Kommentár Tervezethez.</w:t>
      </w:r>
    </w:p>
    <w:p w:rsidR="006323F7" w:rsidRPr="007C2B02" w:rsidRDefault="006323F7" w:rsidP="006323F7">
      <w:pPr>
        <w:jc w:val="center"/>
        <w:rPr>
          <w:b/>
          <w:sz w:val="32"/>
          <w:szCs w:val="32"/>
          <w:lang w:val="hu-HU"/>
        </w:rPr>
      </w:pPr>
      <w:r w:rsidRPr="007C2B02">
        <w:rPr>
          <w:b/>
          <w:sz w:val="32"/>
          <w:szCs w:val="32"/>
          <w:lang w:val="hu-HU"/>
        </w:rPr>
        <w:t>Benyújtva</w:t>
      </w:r>
    </w:p>
    <w:p w:rsidR="006323F7" w:rsidRPr="007C2B02" w:rsidRDefault="006323F7" w:rsidP="006323F7">
      <w:pPr>
        <w:jc w:val="center"/>
        <w:rPr>
          <w:b/>
          <w:sz w:val="32"/>
          <w:szCs w:val="32"/>
          <w:lang w:val="hu-HU"/>
        </w:rPr>
      </w:pPr>
      <w:proofErr w:type="gramStart"/>
      <w:r w:rsidRPr="007C2B02">
        <w:rPr>
          <w:b/>
          <w:sz w:val="32"/>
          <w:szCs w:val="32"/>
          <w:lang w:val="hu-HU"/>
        </w:rPr>
        <w:t>a</w:t>
      </w:r>
      <w:proofErr w:type="gramEnd"/>
      <w:r w:rsidRPr="007C2B02">
        <w:rPr>
          <w:b/>
          <w:sz w:val="32"/>
          <w:szCs w:val="32"/>
          <w:lang w:val="hu-HU"/>
        </w:rPr>
        <w:t xml:space="preserve"> Fogyatékossággal Élő Személyek Jogainak Bizottságához</w:t>
      </w:r>
    </w:p>
    <w:p w:rsidR="006323F7" w:rsidRPr="007C2B02" w:rsidRDefault="006323F7" w:rsidP="006323F7">
      <w:pPr>
        <w:rPr>
          <w:lang w:val="hu-HU"/>
        </w:rPr>
      </w:pPr>
    </w:p>
    <w:p w:rsidR="006323F7" w:rsidRPr="007C2B02" w:rsidRDefault="006323F7" w:rsidP="006323F7">
      <w:pPr>
        <w:rPr>
          <w:lang w:val="hu-HU"/>
        </w:rPr>
      </w:pPr>
    </w:p>
    <w:p w:rsidR="006323F7" w:rsidRPr="007C2B02" w:rsidRDefault="006323F7" w:rsidP="006323F7">
      <w:pPr>
        <w:rPr>
          <w:lang w:val="hu-HU"/>
        </w:rPr>
      </w:pPr>
      <w:r w:rsidRPr="007C2B02">
        <w:rPr>
          <w:lang w:val="hu-HU"/>
        </w:rPr>
        <w:t xml:space="preserve">2016. január </w:t>
      </w:r>
      <w:proofErr w:type="spellStart"/>
      <w:r w:rsidRPr="007C2B02">
        <w:rPr>
          <w:lang w:val="hu-HU"/>
        </w:rPr>
        <w:t>xx</w:t>
      </w:r>
      <w:proofErr w:type="spellEnd"/>
    </w:p>
    <w:p w:rsidR="00507FA4" w:rsidRPr="007C2B02" w:rsidRDefault="00507FA4" w:rsidP="00507FA4">
      <w:pPr>
        <w:rPr>
          <w:lang w:val="hu-HU"/>
        </w:rPr>
      </w:pPr>
    </w:p>
    <w:p w:rsidR="00193C34" w:rsidRPr="007C2B02" w:rsidRDefault="00193C34" w:rsidP="00507FA4">
      <w:pPr>
        <w:rPr>
          <w:lang w:val="hu-HU"/>
        </w:rPr>
      </w:pPr>
    </w:p>
    <w:p w:rsidR="00507FA4" w:rsidRPr="007C2B02" w:rsidRDefault="006323F7" w:rsidP="00507FA4">
      <w:pPr>
        <w:rPr>
          <w:b/>
          <w:lang w:val="hu-HU"/>
        </w:rPr>
      </w:pPr>
      <w:r w:rsidRPr="007C2B02">
        <w:rPr>
          <w:b/>
          <w:lang w:val="hu-HU"/>
        </w:rPr>
        <w:t>Bevezetés</w:t>
      </w:r>
    </w:p>
    <w:p w:rsidR="00507FA4" w:rsidRPr="007C2B02" w:rsidRDefault="00507FA4" w:rsidP="00507FA4">
      <w:pPr>
        <w:rPr>
          <w:lang w:val="hu-HU"/>
        </w:rPr>
      </w:pPr>
    </w:p>
    <w:p w:rsidR="00FB7BCE" w:rsidRPr="007C2B02" w:rsidRDefault="00037CF0" w:rsidP="00037CF0">
      <w:pPr>
        <w:contextualSpacing/>
        <w:jc w:val="both"/>
        <w:rPr>
          <w:lang w:val="hu-HU"/>
        </w:rPr>
      </w:pPr>
      <w:r w:rsidRPr="00037CF0">
        <w:rPr>
          <w:b/>
          <w:lang w:val="hu-HU"/>
        </w:rPr>
        <w:t>1.</w:t>
      </w:r>
      <w:r>
        <w:rPr>
          <w:lang w:val="hu-HU"/>
        </w:rPr>
        <w:t xml:space="preserve"> </w:t>
      </w:r>
      <w:r w:rsidR="004D3BBE" w:rsidRPr="007C2B02">
        <w:rPr>
          <w:lang w:val="hu-HU"/>
        </w:rPr>
        <w:t xml:space="preserve">A Mozgáskorlátozottak Egyesületeinek Országos Szövetsége (a továbbiakban: MEOSZ) </w:t>
      </w:r>
      <w:r w:rsidR="00AE125E" w:rsidRPr="007C2B02">
        <w:rPr>
          <w:lang w:val="hu-HU"/>
        </w:rPr>
        <w:t>– melyet</w:t>
      </w:r>
      <w:r w:rsidR="004D3BBE" w:rsidRPr="007C2B02">
        <w:rPr>
          <w:lang w:val="hu-HU"/>
        </w:rPr>
        <w:t xml:space="preserve"> mozgás</w:t>
      </w:r>
      <w:r w:rsidR="00AE125E" w:rsidRPr="007C2B02">
        <w:rPr>
          <w:lang w:val="hu-HU"/>
        </w:rPr>
        <w:t>korlátozott</w:t>
      </w:r>
      <w:r w:rsidR="004D3BBE" w:rsidRPr="007C2B02">
        <w:rPr>
          <w:lang w:val="hu-HU"/>
        </w:rPr>
        <w:t xml:space="preserve"> emberek alapítottak 1981-ben – egy független, non-profit, nem kormányzati ernyőszervezet. A MEOSZ </w:t>
      </w:r>
      <w:r w:rsidR="00136189">
        <w:rPr>
          <w:lang w:val="hu-HU"/>
        </w:rPr>
        <w:t>90</w:t>
      </w:r>
      <w:r w:rsidR="004D3BBE" w:rsidRPr="007C2B02">
        <w:rPr>
          <w:lang w:val="hu-HU"/>
        </w:rPr>
        <w:t xml:space="preserve"> </w:t>
      </w:r>
      <w:r w:rsidR="00AE125E" w:rsidRPr="007C2B02">
        <w:rPr>
          <w:lang w:val="hu-HU"/>
        </w:rPr>
        <w:t>–</w:t>
      </w:r>
      <w:r w:rsidR="004D3BBE" w:rsidRPr="007C2B02">
        <w:rPr>
          <w:lang w:val="hu-HU"/>
        </w:rPr>
        <w:t xml:space="preserve"> 850 helyi csoportból álló – tagszervezetet és 190.000 egyéni tagot képvisel Magyarország minden részéről. A MEOSZ átfogó célja, hogy minden Magyarországon élő </w:t>
      </w:r>
      <w:r w:rsidR="00AE125E" w:rsidRPr="007C2B02">
        <w:rPr>
          <w:lang w:val="hu-HU"/>
        </w:rPr>
        <w:t xml:space="preserve">mozgáskorlátozott személy számára </w:t>
      </w:r>
      <w:r w:rsidR="004D3BBE" w:rsidRPr="007C2B02">
        <w:rPr>
          <w:lang w:val="hu-HU"/>
        </w:rPr>
        <w:t xml:space="preserve">megvalósítsa </w:t>
      </w:r>
      <w:r w:rsidR="00AE125E" w:rsidRPr="007C2B02">
        <w:rPr>
          <w:lang w:val="hu-HU"/>
        </w:rPr>
        <w:t>az esélyegyenlőséget és a társadalomban való teljes részvételt azáltal, hogy érdekeiket képviseli, védi és előmozdítja, valamint hogy a jogaikért küzd.</w:t>
      </w:r>
    </w:p>
    <w:p w:rsidR="001838E6" w:rsidRPr="007C2B02" w:rsidRDefault="001838E6" w:rsidP="001838E6">
      <w:pPr>
        <w:ind w:left="720"/>
        <w:contextualSpacing/>
        <w:jc w:val="both"/>
        <w:rPr>
          <w:lang w:val="hu-HU"/>
        </w:rPr>
      </w:pPr>
    </w:p>
    <w:p w:rsidR="00942517" w:rsidRPr="007C2B02" w:rsidRDefault="00037CF0" w:rsidP="00037CF0">
      <w:pPr>
        <w:contextualSpacing/>
        <w:jc w:val="both"/>
        <w:rPr>
          <w:lang w:val="hu-HU"/>
        </w:rPr>
      </w:pPr>
      <w:r w:rsidRPr="00037CF0">
        <w:rPr>
          <w:b/>
          <w:lang w:val="hu-HU"/>
        </w:rPr>
        <w:t>2.</w:t>
      </w:r>
      <w:r>
        <w:rPr>
          <w:lang w:val="hu-HU"/>
        </w:rPr>
        <w:t xml:space="preserve"> </w:t>
      </w:r>
      <w:r w:rsidR="004012A6" w:rsidRPr="007C2B02">
        <w:rPr>
          <w:lang w:val="hu-HU"/>
        </w:rPr>
        <w:t>A M</w:t>
      </w:r>
      <w:r w:rsidR="00942517" w:rsidRPr="007C2B02">
        <w:rPr>
          <w:lang w:val="hu-HU"/>
        </w:rPr>
        <w:t>EOSZ üdvözl</w:t>
      </w:r>
      <w:r w:rsidR="004012A6" w:rsidRPr="007C2B02">
        <w:rPr>
          <w:lang w:val="hu-HU"/>
        </w:rPr>
        <w:t>i az in</w:t>
      </w:r>
      <w:r w:rsidR="00942517" w:rsidRPr="007C2B02">
        <w:rPr>
          <w:lang w:val="hu-HU"/>
        </w:rPr>
        <w:t xml:space="preserve">kluzív oktatáshoz való jogról, a Fogyatékossággal élő személyek jogairól szóló ENSZ Egyezmény (a továbbiakban: </w:t>
      </w:r>
      <w:proofErr w:type="gramStart"/>
      <w:r w:rsidR="00942517" w:rsidRPr="007C2B02">
        <w:rPr>
          <w:lang w:val="hu-HU"/>
        </w:rPr>
        <w:t>CRPD</w:t>
      </w:r>
      <w:r w:rsidR="00942517" w:rsidRPr="007C2B02">
        <w:rPr>
          <w:rStyle w:val="Lbjegyzet-hivatkozs"/>
          <w:lang w:val="hu-HU"/>
        </w:rPr>
        <w:footnoteReference w:id="1"/>
      </w:r>
      <w:r w:rsidR="00942517" w:rsidRPr="007C2B02">
        <w:rPr>
          <w:lang w:val="hu-HU"/>
        </w:rPr>
        <w:t>)</w:t>
      </w:r>
      <w:proofErr w:type="gramEnd"/>
      <w:r w:rsidR="00942517" w:rsidRPr="007C2B02">
        <w:rPr>
          <w:lang w:val="hu-HU"/>
        </w:rPr>
        <w:t xml:space="preserve"> 24 cikkéről szóló 4. számú Általános Kommentár Tervezetet, és gratulál a Fogyatékossággal Élő Személyek Jogainak Bizottsága (a továbbiakban: Bizottság)</w:t>
      </w:r>
      <w:r w:rsidR="004012A6" w:rsidRPr="007C2B02">
        <w:rPr>
          <w:lang w:val="hu-HU"/>
        </w:rPr>
        <w:t xml:space="preserve"> munkájához, amellyel egy olyan hatékony eszközt hoz létre, amely segít a fogyatékossággal élő személyek inkluzív oktatáshoz való jogának értelmezésében és előmozdításában.</w:t>
      </w:r>
    </w:p>
    <w:p w:rsidR="00942517" w:rsidRPr="007C2B02" w:rsidRDefault="00942517" w:rsidP="00F607A2">
      <w:pPr>
        <w:ind w:left="720"/>
        <w:contextualSpacing/>
        <w:jc w:val="both"/>
        <w:rPr>
          <w:lang w:val="hu-HU"/>
        </w:rPr>
      </w:pPr>
    </w:p>
    <w:p w:rsidR="004012A6" w:rsidRDefault="00037CF0" w:rsidP="00037CF0">
      <w:pPr>
        <w:contextualSpacing/>
        <w:jc w:val="both"/>
        <w:rPr>
          <w:lang w:val="hu-HU"/>
        </w:rPr>
      </w:pPr>
      <w:r w:rsidRPr="00037CF0">
        <w:rPr>
          <w:b/>
          <w:lang w:val="hu-HU"/>
        </w:rPr>
        <w:t>3.</w:t>
      </w:r>
      <w:r>
        <w:rPr>
          <w:lang w:val="hu-HU"/>
        </w:rPr>
        <w:t xml:space="preserve"> </w:t>
      </w:r>
      <w:r w:rsidR="004012A6" w:rsidRPr="007C2B02">
        <w:rPr>
          <w:lang w:val="hu-HU"/>
        </w:rPr>
        <w:t>Annak érdekében, hogy a magyar mozgáskorlátozott személyek hangját közelebb tudjuk hozni a Bizottsághoz, a MEOSZ lefordította az Általános Kommentár Tervezetet</w:t>
      </w:r>
      <w:r w:rsidR="001838E6" w:rsidRPr="007C2B02">
        <w:rPr>
          <w:lang w:val="hu-HU"/>
        </w:rPr>
        <w:t xml:space="preserve"> magyarra</w:t>
      </w:r>
      <w:r w:rsidR="004012A6" w:rsidRPr="007C2B02">
        <w:rPr>
          <w:lang w:val="hu-HU"/>
        </w:rPr>
        <w:t xml:space="preserve">, </w:t>
      </w:r>
      <w:hyperlink r:id="rId13" w:history="1">
        <w:r w:rsidR="004012A6" w:rsidRPr="007C2B02">
          <w:rPr>
            <w:rStyle w:val="Hiperhivatkozs"/>
            <w:lang w:val="hu-HU"/>
          </w:rPr>
          <w:t>közzétette a honlapján</w:t>
        </w:r>
      </w:hyperlink>
      <w:r w:rsidR="004012A6" w:rsidRPr="007C2B02">
        <w:rPr>
          <w:lang w:val="hu-HU"/>
        </w:rPr>
        <w:t xml:space="preserve"> és </w:t>
      </w:r>
      <w:hyperlink r:id="rId14" w:history="1">
        <w:r w:rsidR="004012A6" w:rsidRPr="007C2B02">
          <w:rPr>
            <w:rStyle w:val="Hiperhivatkozs"/>
            <w:lang w:val="hu-HU"/>
          </w:rPr>
          <w:t xml:space="preserve">felhívást </w:t>
        </w:r>
        <w:r w:rsidR="00A53085">
          <w:rPr>
            <w:rStyle w:val="Hiperhivatkozs"/>
            <w:lang w:val="hu-HU"/>
          </w:rPr>
          <w:t xml:space="preserve">adott ki </w:t>
        </w:r>
        <w:r w:rsidR="001838E6" w:rsidRPr="007C2B02">
          <w:rPr>
            <w:rStyle w:val="Hiperhivatkozs"/>
            <w:lang w:val="hu-HU"/>
          </w:rPr>
          <w:t>észrevételek tételére</w:t>
        </w:r>
      </w:hyperlink>
      <w:r w:rsidR="001838E6" w:rsidRPr="007C2B02">
        <w:rPr>
          <w:lang w:val="hu-HU"/>
        </w:rPr>
        <w:t xml:space="preserve"> </w:t>
      </w:r>
      <w:r w:rsidR="004012A6" w:rsidRPr="007C2B02">
        <w:rPr>
          <w:lang w:val="hu-HU"/>
        </w:rPr>
        <w:t>minden tagszervezete és egyéni tagja számára</w:t>
      </w:r>
      <w:r w:rsidR="001838E6" w:rsidRPr="007C2B02">
        <w:rPr>
          <w:lang w:val="hu-HU"/>
        </w:rPr>
        <w:t>. A következő írásos vélemény erőteljesen támaszkodik a magyar mozgáskorlátozott személyek és szervezeteik észrevételeire és javaslataira.</w:t>
      </w:r>
    </w:p>
    <w:p w:rsidR="00037CF0" w:rsidRDefault="00037CF0" w:rsidP="00037CF0">
      <w:pPr>
        <w:rPr>
          <w:lang w:val="hu-HU"/>
        </w:rPr>
      </w:pPr>
    </w:p>
    <w:p w:rsidR="00037CF0" w:rsidRDefault="00037CF0" w:rsidP="00037CF0">
      <w:pPr>
        <w:rPr>
          <w:b/>
          <w:lang w:val="hu-HU"/>
        </w:rPr>
      </w:pPr>
      <w:r w:rsidRPr="00037CF0">
        <w:rPr>
          <w:b/>
          <w:lang w:val="hu-HU"/>
        </w:rPr>
        <w:t>Észrevételek és Javaslatok</w:t>
      </w:r>
    </w:p>
    <w:p w:rsidR="00037CF0" w:rsidRPr="00037CF0" w:rsidRDefault="00037CF0" w:rsidP="00037CF0">
      <w:pPr>
        <w:rPr>
          <w:lang w:val="hu-HU"/>
        </w:rPr>
      </w:pPr>
    </w:p>
    <w:p w:rsidR="001F609F" w:rsidRPr="00037CF0" w:rsidRDefault="00037CF0" w:rsidP="00037CF0">
      <w:pPr>
        <w:contextualSpacing/>
        <w:jc w:val="both"/>
        <w:rPr>
          <w:lang w:val="hu-HU"/>
        </w:rPr>
      </w:pPr>
      <w:r w:rsidRPr="00037CF0">
        <w:rPr>
          <w:b/>
          <w:lang w:val="hu-HU"/>
        </w:rPr>
        <w:t>4.</w:t>
      </w:r>
      <w:r>
        <w:rPr>
          <w:lang w:val="hu-HU"/>
        </w:rPr>
        <w:t xml:space="preserve"> </w:t>
      </w:r>
      <w:r w:rsidR="001F609F" w:rsidRPr="00037CF0">
        <w:rPr>
          <w:lang w:val="hu-HU"/>
        </w:rPr>
        <w:t xml:space="preserve">Az Általános Kommentár Tervezet 5. bekezdés egy példálózó felsorolást tartalmaz azon akadályokkal kapcsolatosan, melyek aránytalanul sok fogyatékossággal élő személyt tartanak távol az inkluzív oktatástól. Tapasztalataink szerint egy másik releváns akadály az, amikor a szülők túlvédik a fogyatékossággal élő gyermeküket és azt akarják, hogy speciális iskolába </w:t>
      </w:r>
      <w:r w:rsidR="001F609F" w:rsidRPr="00037CF0">
        <w:rPr>
          <w:lang w:val="hu-HU"/>
        </w:rPr>
        <w:lastRenderedPageBreak/>
        <w:t xml:space="preserve">járjanak. A szülők úgy gondolnak a </w:t>
      </w:r>
      <w:proofErr w:type="spellStart"/>
      <w:r w:rsidR="001F609F" w:rsidRPr="00037CF0">
        <w:rPr>
          <w:lang w:val="hu-HU"/>
        </w:rPr>
        <w:t>szegregált</w:t>
      </w:r>
      <w:proofErr w:type="spellEnd"/>
      <w:r w:rsidR="001F609F" w:rsidRPr="00037CF0">
        <w:rPr>
          <w:lang w:val="hu-HU"/>
        </w:rPr>
        <w:t xml:space="preserve"> oktatásra, mint egy védett környezetre, amely meg tudja előzni a fogyatékossággal élő tanulókat érő visszaéléseket, iskolai zaklatást, rossz bánásmódot és erőszakot. Az államok egyszerűen erre az álláspontra támaszkodva azt mondhatják, hogy "nem akarunk beleavatkozni a családok életébe; végső soron az iskoláztatással kapcsolatos döntés a szülők kezében van". A MEOSZ szerint a szülők és az államok ezen érvei széles körben elterjedtek és az Általános Kommentárnak explicite foglalkoznia kell velük.</w:t>
      </w:r>
    </w:p>
    <w:p w:rsidR="001F609F" w:rsidRDefault="001F609F" w:rsidP="001F609F">
      <w:pPr>
        <w:contextualSpacing/>
        <w:jc w:val="both"/>
        <w:rPr>
          <w:lang w:val="hu-HU"/>
        </w:rPr>
      </w:pPr>
    </w:p>
    <w:p w:rsidR="001F609F" w:rsidRPr="001F609F" w:rsidRDefault="001F609F"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lang w:val="hu-HU"/>
        </w:rPr>
      </w:pPr>
      <w:r w:rsidRPr="001F609F">
        <w:rPr>
          <w:i/>
          <w:lang w:val="hu-HU"/>
        </w:rPr>
        <w:t>Javasolt kiegészített szöveg az 5. bekezdéshez:</w:t>
      </w:r>
    </w:p>
    <w:p w:rsidR="001F609F" w:rsidRPr="001F609F" w:rsidRDefault="001F609F"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p>
    <w:p w:rsidR="001F609F" w:rsidRPr="001F609F" w:rsidRDefault="001F609F"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proofErr w:type="gramStart"/>
      <w:r w:rsidRPr="001F609F">
        <w:rPr>
          <w:lang w:val="hu-HU"/>
        </w:rPr>
        <w:t>A</w:t>
      </w:r>
      <w:r>
        <w:rPr>
          <w:lang w:val="hu-HU"/>
        </w:rPr>
        <w:t>zon</w:t>
      </w:r>
      <w:proofErr w:type="gramEnd"/>
      <w:r>
        <w:rPr>
          <w:lang w:val="hu-HU"/>
        </w:rPr>
        <w:t xml:space="preserve"> akadályok melyek</w:t>
      </w:r>
      <w:r w:rsidRPr="001F609F">
        <w:rPr>
          <w:lang w:val="hu-HU"/>
        </w:rPr>
        <w:t xml:space="preserve"> aránytalanul sok fogyatékossággal élő szem</w:t>
      </w:r>
      <w:r>
        <w:rPr>
          <w:lang w:val="hu-HU"/>
        </w:rPr>
        <w:t xml:space="preserve">élyt tartanak távol az </w:t>
      </w:r>
      <w:r w:rsidRPr="001F609F">
        <w:rPr>
          <w:lang w:val="hu-HU"/>
        </w:rPr>
        <w:t>oktatástól</w:t>
      </w:r>
      <w:r w:rsidR="00C575EC">
        <w:rPr>
          <w:lang w:val="hu-HU"/>
        </w:rPr>
        <w:t xml:space="preserve">, többek között az alábbi tényezőknek </w:t>
      </w:r>
      <w:r w:rsidRPr="001F609F">
        <w:rPr>
          <w:lang w:val="hu-HU"/>
        </w:rPr>
        <w:t>tulajdoníthatók:</w:t>
      </w:r>
    </w:p>
    <w:p w:rsidR="00C575EC" w:rsidRPr="000F61A5" w:rsidRDefault="00C575EC" w:rsidP="000F61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lang w:val="hu-HU"/>
        </w:rPr>
      </w:pPr>
      <w:r w:rsidRPr="000F61A5">
        <w:rPr>
          <w:b/>
          <w:lang w:val="hu-HU"/>
        </w:rPr>
        <w:t xml:space="preserve">A szülők gyakran túlvédik a fogyatékossággal élő gyermeküket és azt akarják, hogy speciális iskolába járjanak. A szülők hajlanak arra, hogy úgy gondoljanak a </w:t>
      </w:r>
      <w:proofErr w:type="spellStart"/>
      <w:r w:rsidRPr="000F61A5">
        <w:rPr>
          <w:b/>
          <w:lang w:val="hu-HU"/>
        </w:rPr>
        <w:t>szegregált</w:t>
      </w:r>
      <w:proofErr w:type="spellEnd"/>
      <w:r w:rsidRPr="000F61A5">
        <w:rPr>
          <w:b/>
          <w:lang w:val="hu-HU"/>
        </w:rPr>
        <w:t xml:space="preserve"> oktatásra, mint egy védett környezetre, amely meg tudja előzni a fogyatékossággal élő tanulókat érő visszaéléseket, iskolai zaklatást, rossz bánásmódot és erőszakot. Az államok hajlanak arra, hogy egyszerűen erre az álláspontra támaszkodva azt mondhatják, hogy nem akarnak beleavatkozni a családok életébe és az iskoláztatással kapcsolatos döntés a szülők kezében van. A szülők és az államok ezen érvei a fogyatékossággal élő személyek szegregációját támogatják, amely elfogadhatatlan egy inkluzív oktatási rendszerben.</w:t>
      </w:r>
    </w:p>
    <w:p w:rsidR="001F609F" w:rsidRDefault="001F609F" w:rsidP="001F609F">
      <w:pPr>
        <w:contextualSpacing/>
        <w:jc w:val="both"/>
        <w:rPr>
          <w:lang w:val="hu-HU"/>
        </w:rPr>
      </w:pPr>
    </w:p>
    <w:p w:rsidR="001D4766" w:rsidRDefault="00037CF0" w:rsidP="001D4766">
      <w:pPr>
        <w:contextualSpacing/>
        <w:jc w:val="both"/>
        <w:rPr>
          <w:bCs/>
          <w:lang w:val="hu-HU"/>
        </w:rPr>
      </w:pPr>
      <w:r w:rsidRPr="000423BD">
        <w:rPr>
          <w:b/>
          <w:lang w:val="hu-HU"/>
        </w:rPr>
        <w:t>5.</w:t>
      </w:r>
      <w:r>
        <w:rPr>
          <w:lang w:val="hu-HU"/>
        </w:rPr>
        <w:t xml:space="preserve"> </w:t>
      </w:r>
      <w:r w:rsidRPr="00037CF0">
        <w:rPr>
          <w:lang w:val="hu-HU"/>
        </w:rPr>
        <w:t>Az Általános Kommentár Tervezet 5. bekezdés</w:t>
      </w:r>
      <w:r>
        <w:rPr>
          <w:lang w:val="hu-HU"/>
        </w:rPr>
        <w:t xml:space="preserve">ével </w:t>
      </w:r>
      <w:r w:rsidR="00D602ED">
        <w:rPr>
          <w:lang w:val="hu-HU"/>
        </w:rPr>
        <w:t>összefüggésben</w:t>
      </w:r>
      <w:r>
        <w:rPr>
          <w:lang w:val="hu-HU"/>
        </w:rPr>
        <w:t xml:space="preserve"> egy másik akadály</w:t>
      </w:r>
      <w:r w:rsidR="00D602ED">
        <w:rPr>
          <w:lang w:val="hu-HU"/>
        </w:rPr>
        <w:t>,</w:t>
      </w:r>
      <w:r>
        <w:rPr>
          <w:lang w:val="hu-HU"/>
        </w:rPr>
        <w:t xml:space="preserve"> amely távol tartja a fogyatékossággal élő személyeket az inkluzív oktatástól</w:t>
      </w:r>
      <w:r w:rsidR="00D602ED">
        <w:rPr>
          <w:lang w:val="hu-HU"/>
        </w:rPr>
        <w:t xml:space="preserve"> az </w:t>
      </w:r>
      <w:r w:rsidR="00D602ED" w:rsidRPr="00D602ED">
        <w:rPr>
          <w:bCs/>
          <w:lang w:val="hu-HU"/>
        </w:rPr>
        <w:t>a „sajátos ne</w:t>
      </w:r>
      <w:r w:rsidR="00D602ED">
        <w:rPr>
          <w:bCs/>
          <w:lang w:val="hu-HU"/>
        </w:rPr>
        <w:t>velési igényű tanulók” címke, amely a fogyatékossággal élő személyekkel kapcsolatos alacsonyabb elvárásokhoz vezet.</w:t>
      </w:r>
      <w:r w:rsidR="00D602ED">
        <w:rPr>
          <w:rStyle w:val="Lbjegyzet-hivatkozs"/>
          <w:bCs/>
          <w:lang w:val="hu-HU"/>
        </w:rPr>
        <w:footnoteReference w:id="2"/>
      </w:r>
      <w:r w:rsidR="001D4766">
        <w:rPr>
          <w:bCs/>
          <w:lang w:val="hu-HU"/>
        </w:rPr>
        <w:t xml:space="preserve"> Habár a „</w:t>
      </w:r>
      <w:r w:rsidR="000423BD">
        <w:rPr>
          <w:bCs/>
          <w:lang w:val="hu-HU"/>
        </w:rPr>
        <w:t>sajátos</w:t>
      </w:r>
      <w:r w:rsidR="001D4766" w:rsidRPr="001D4766">
        <w:rPr>
          <w:bCs/>
          <w:lang w:val="hu-HU"/>
        </w:rPr>
        <w:t xml:space="preserve"> nevelési igényű tanulók” elnevezés még mindig elterjedt és a fogyatékosság orvosi modelljére épül, az Általános Kommentár Tervezet hallgat erről a jelenségről.</w:t>
      </w:r>
      <w:r w:rsidR="00864AB5">
        <w:rPr>
          <w:bCs/>
          <w:lang w:val="hu-HU"/>
        </w:rPr>
        <w:t xml:space="preserve"> </w:t>
      </w:r>
      <w:r w:rsidR="001D4766" w:rsidRPr="001D4766">
        <w:rPr>
          <w:bCs/>
          <w:lang w:val="hu-HU"/>
        </w:rPr>
        <w:t xml:space="preserve">A MEOSZ szerint a társadalom </w:t>
      </w:r>
      <w:r w:rsidR="001D4766">
        <w:rPr>
          <w:bCs/>
          <w:lang w:val="hu-HU"/>
        </w:rPr>
        <w:t>gyakran</w:t>
      </w:r>
      <w:r w:rsidR="001D4766" w:rsidRPr="001D4766">
        <w:rPr>
          <w:bCs/>
          <w:lang w:val="hu-HU"/>
        </w:rPr>
        <w:t xml:space="preserve"> úgy tekint a fogyatékossággal élő tanulókra, mint „a normálistól eltérő tanulókra” akiknek különleges vagy extra szükségleteik vannak, azonban meggyőződésünk, hogy az inkluzív oktatás keretei között minden szükséglet emberi és „normális” és az e szükségletekre adandó megoldások</w:t>
      </w:r>
      <w:r w:rsidR="001D4766">
        <w:rPr>
          <w:bCs/>
          <w:lang w:val="hu-HU"/>
        </w:rPr>
        <w:t>nak kell különlegesnek lenniük. Mindezeken túlmenően, magas elvárásokat kell teremteni minden tanulóval szemben, ideértve a fogyatékossággal élő tanulókat is. Ez többek között azt jelenti, minden tanuló érezheti, hogy olyan iskolába jár, ahol elérhető a legjobb teljesítmény; minden tanulót megerősítenek abban, hogy mag</w:t>
      </w:r>
      <w:r w:rsidR="00864AB5">
        <w:rPr>
          <w:bCs/>
          <w:lang w:val="hu-HU"/>
        </w:rPr>
        <w:t>asak legyenek az elvárásaik a tanulmányaikkal kapcsolatosan; a pedagógusoknak kerülniük kell, hogy a tanulókat beskatulyázzák aktuális teljesítményük alapján.</w:t>
      </w:r>
      <w:r w:rsidR="00864AB5">
        <w:rPr>
          <w:rStyle w:val="Lbjegyzet-hivatkozs"/>
          <w:bCs/>
          <w:lang w:val="hu-HU"/>
        </w:rPr>
        <w:footnoteReference w:id="3"/>
      </w:r>
    </w:p>
    <w:p w:rsidR="00037CF0" w:rsidRDefault="00037CF0" w:rsidP="00037CF0">
      <w:pPr>
        <w:contextualSpacing/>
        <w:jc w:val="both"/>
        <w:rPr>
          <w:bCs/>
        </w:rPr>
      </w:pPr>
    </w:p>
    <w:p w:rsidR="00864AB5" w:rsidRPr="00864AB5" w:rsidRDefault="00864AB5"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864AB5">
        <w:rPr>
          <w:bCs/>
          <w:i/>
          <w:lang w:val="hu-HU"/>
        </w:rPr>
        <w:t>Javasolt kiegészített szöveg az 5. bekezdéshez:</w:t>
      </w:r>
    </w:p>
    <w:p w:rsidR="00037CF0" w:rsidRDefault="00037CF0"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rPr>
      </w:pPr>
    </w:p>
    <w:p w:rsidR="00864AB5" w:rsidRPr="001F609F" w:rsidRDefault="00864AB5" w:rsidP="000F61A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proofErr w:type="gramStart"/>
      <w:r w:rsidRPr="001F609F">
        <w:rPr>
          <w:lang w:val="hu-HU"/>
        </w:rPr>
        <w:t>A</w:t>
      </w:r>
      <w:r>
        <w:rPr>
          <w:lang w:val="hu-HU"/>
        </w:rPr>
        <w:t>zon</w:t>
      </w:r>
      <w:proofErr w:type="gramEnd"/>
      <w:r>
        <w:rPr>
          <w:lang w:val="hu-HU"/>
        </w:rPr>
        <w:t xml:space="preserve"> akadályok melyek</w:t>
      </w:r>
      <w:r w:rsidRPr="001F609F">
        <w:rPr>
          <w:lang w:val="hu-HU"/>
        </w:rPr>
        <w:t xml:space="preserve"> aránytalanul sok fogyatékossággal élő szem</w:t>
      </w:r>
      <w:r>
        <w:rPr>
          <w:lang w:val="hu-HU"/>
        </w:rPr>
        <w:t xml:space="preserve">élyt tartanak távol az </w:t>
      </w:r>
      <w:r w:rsidRPr="001F609F">
        <w:rPr>
          <w:lang w:val="hu-HU"/>
        </w:rPr>
        <w:t>oktatástól</w:t>
      </w:r>
      <w:r>
        <w:rPr>
          <w:lang w:val="hu-HU"/>
        </w:rPr>
        <w:t xml:space="preserve">, többek között az alábbi tényezőknek </w:t>
      </w:r>
      <w:r w:rsidRPr="001F609F">
        <w:rPr>
          <w:lang w:val="hu-HU"/>
        </w:rPr>
        <w:t>tulajdoníthatók:</w:t>
      </w:r>
    </w:p>
    <w:p w:rsidR="00037CF0" w:rsidRPr="000F61A5" w:rsidRDefault="00864AB5" w:rsidP="000F61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rPr>
      </w:pPr>
      <w:r w:rsidRPr="000F61A5">
        <w:rPr>
          <w:b/>
          <w:lang w:val="hu-HU"/>
        </w:rPr>
        <w:t xml:space="preserve">A </w:t>
      </w:r>
      <w:r w:rsidRPr="000F61A5">
        <w:rPr>
          <w:b/>
          <w:bCs/>
          <w:lang w:val="hu-HU"/>
        </w:rPr>
        <w:t xml:space="preserve">„sajátos nevelési igényű tanulók” címke, amely a fogyatékossággal élő személyekkel kapcsolatos alacsonyabb elvárásokhoz vezet. A társadalom gyakran úgy tekint a fogyatékossággal élő tanulókra, mint „a normálistól eltérő tanulókra” akiknek különleges vagy extra szükségleteik vannak, azonban meggyőződésünk, hogy az inkluzív oktatás keretei között minden szükséglet emberi és „normális” és az e szükségletekre adandó megoldásoknak kell különlegesnek lenniük. Mindezeken túlmenően, magas elvárásokat kell teremteni minden tanulóval szemben, ideértve a fogyatékossággal élő </w:t>
      </w:r>
      <w:r w:rsidRPr="000F61A5">
        <w:rPr>
          <w:b/>
          <w:bCs/>
          <w:lang w:val="hu-HU"/>
        </w:rPr>
        <w:lastRenderedPageBreak/>
        <w:t>tanulókat is. Ez többek között azt jelenti, minden tanulót megerősítenek abban, hogy magasak legyenek az elvárásaik a tanulmányaikkal kapcsolatosan</w:t>
      </w:r>
      <w:r w:rsidR="000423BD" w:rsidRPr="000F61A5">
        <w:rPr>
          <w:b/>
          <w:bCs/>
          <w:lang w:val="hu-HU"/>
        </w:rPr>
        <w:t>, és</w:t>
      </w:r>
      <w:r w:rsidRPr="000F61A5">
        <w:rPr>
          <w:b/>
          <w:bCs/>
          <w:lang w:val="hu-HU"/>
        </w:rPr>
        <w:t xml:space="preserve"> a pedagógusoknak kerülniük kell, hogy a tanulókat beskatulyázzák aktuális teljesítményük alapján.</w:t>
      </w:r>
      <w:r w:rsidR="000423BD">
        <w:rPr>
          <w:rStyle w:val="Lbjegyzet-hivatkozs"/>
          <w:b/>
          <w:bCs/>
          <w:lang w:val="hu-HU"/>
        </w:rPr>
        <w:footnoteReference w:id="4"/>
      </w:r>
    </w:p>
    <w:p w:rsidR="00864AB5" w:rsidRDefault="00864AB5" w:rsidP="00864AB5">
      <w:pPr>
        <w:jc w:val="both"/>
      </w:pPr>
    </w:p>
    <w:p w:rsidR="007420AE" w:rsidRPr="00D371A3" w:rsidRDefault="007420AE" w:rsidP="007420AE">
      <w:pPr>
        <w:contextualSpacing/>
        <w:jc w:val="both"/>
        <w:rPr>
          <w:lang w:val="hu-HU"/>
        </w:rPr>
      </w:pPr>
      <w:r w:rsidRPr="00D371A3">
        <w:rPr>
          <w:b/>
          <w:lang w:val="hu-HU"/>
        </w:rPr>
        <w:t>6.</w:t>
      </w:r>
      <w:r w:rsidRPr="00D371A3">
        <w:rPr>
          <w:lang w:val="hu-HU"/>
        </w:rPr>
        <w:t xml:space="preserve"> Az Általános Kommentár Tervezet 12. bekezdése felsorolja az inkluzív oktatás legfontosabb elemeit. Véleményünk szerint ezek az elemek az inkluzív oktatás elérését célzó folyamatoknak csak a végrehajtás és a monitoring fázisaira fókuszálnak, és nem foglalkoznak a tervezés szakaszával. A MEOSZ üdvözölné, ha az inkluzív oktatás legfontosabb elemei </w:t>
      </w:r>
      <w:r w:rsidR="001E0D18" w:rsidRPr="00D371A3">
        <w:rPr>
          <w:lang w:val="hu-HU"/>
        </w:rPr>
        <w:t>magukban foglalnának még egy komponenst e hiányosság betöltése érdekében.</w:t>
      </w:r>
    </w:p>
    <w:p w:rsidR="007420AE" w:rsidRPr="00D371A3" w:rsidRDefault="007420AE" w:rsidP="007420AE">
      <w:pPr>
        <w:contextualSpacing/>
        <w:jc w:val="both"/>
        <w:rPr>
          <w:lang w:val="hu-HU"/>
        </w:rPr>
      </w:pPr>
    </w:p>
    <w:p w:rsidR="007420AE" w:rsidRPr="00D371A3" w:rsidRDefault="007420AE" w:rsidP="000F61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lang w:val="hu-HU"/>
        </w:rPr>
      </w:pPr>
      <w:r w:rsidRPr="00D371A3">
        <w:rPr>
          <w:i/>
          <w:lang w:val="hu-HU"/>
        </w:rPr>
        <w:t>Javasolt kiegészített szöveg a 12. bekezdéshez:</w:t>
      </w:r>
    </w:p>
    <w:p w:rsidR="007420AE" w:rsidRPr="00D371A3" w:rsidRDefault="007420AE" w:rsidP="000F61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hu-HU"/>
        </w:rPr>
      </w:pPr>
    </w:p>
    <w:p w:rsidR="001E0D18" w:rsidRPr="00D371A3" w:rsidRDefault="001E0D18" w:rsidP="000F61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lang w:val="hu-HU"/>
        </w:rPr>
      </w:pPr>
      <w:r w:rsidRPr="00D371A3">
        <w:rPr>
          <w:b/>
          <w:lang w:val="hu-HU"/>
        </w:rPr>
        <w:t xml:space="preserve">Tervezés: Az inkluzív oktatást érintő jogalkotást, politikákat és más döntéshozatali eljárásokat úgy kell tervezni, hogy azok összhangban legyenek a “semmit rólunk nélkülünk” elvvel, a CRPD preambulumának (o) bekezdésével és a </w:t>
      </w:r>
      <w:proofErr w:type="gramStart"/>
      <w:r w:rsidRPr="00D371A3">
        <w:rPr>
          <w:b/>
          <w:lang w:val="hu-HU"/>
        </w:rPr>
        <w:t>4(</w:t>
      </w:r>
      <w:proofErr w:type="gramEnd"/>
      <w:r w:rsidRPr="00D371A3">
        <w:rPr>
          <w:b/>
          <w:lang w:val="hu-HU"/>
        </w:rPr>
        <w:t>3) cikkével. Ezek megkövetelik a Részes Államoktól, hogy szorosan egyeztessenek képviseleti szervezeteiken keresztül a fogyatékossággal élő személyek</w:t>
      </w:r>
      <w:r w:rsidR="00D371A3" w:rsidRPr="00D371A3">
        <w:rPr>
          <w:b/>
          <w:lang w:val="hu-HU"/>
        </w:rPr>
        <w:t>kel,</w:t>
      </w:r>
      <w:r w:rsidRPr="00D371A3">
        <w:rPr>
          <w:b/>
          <w:lang w:val="hu-HU"/>
        </w:rPr>
        <w:t xml:space="preserve"> ideértve a fogy</w:t>
      </w:r>
      <w:r w:rsidR="00D371A3" w:rsidRPr="00D371A3">
        <w:rPr>
          <w:b/>
          <w:lang w:val="hu-HU"/>
        </w:rPr>
        <w:t>atékossággal élő gyermekeket is és biztosítsák aktív részvételüket.</w:t>
      </w:r>
    </w:p>
    <w:p w:rsidR="001E0D18" w:rsidRDefault="001E0D18" w:rsidP="001E0D18">
      <w:pPr>
        <w:contextualSpacing/>
        <w:jc w:val="both"/>
      </w:pPr>
    </w:p>
    <w:p w:rsidR="00D371A3" w:rsidRPr="00D371A3" w:rsidRDefault="007420AE" w:rsidP="00D371A3">
      <w:pPr>
        <w:contextualSpacing/>
        <w:jc w:val="both"/>
        <w:rPr>
          <w:lang w:val="hu-HU"/>
        </w:rPr>
      </w:pPr>
      <w:r w:rsidRPr="00D371A3">
        <w:rPr>
          <w:b/>
          <w:lang w:val="hu-HU"/>
        </w:rPr>
        <w:t>7.</w:t>
      </w:r>
      <w:r w:rsidRPr="00D371A3">
        <w:rPr>
          <w:lang w:val="hu-HU"/>
        </w:rPr>
        <w:t xml:space="preserve"> </w:t>
      </w:r>
      <w:r w:rsidR="00D371A3" w:rsidRPr="00D371A3">
        <w:rPr>
          <w:lang w:val="hu-HU"/>
        </w:rPr>
        <w:t>A MEOSZ véleménye az, hogy az Általános Kommentár Tervezet 12. bekezdés (a) és (b) pontjainak konkrétabbnak kell lenniük összhangban az alábbi javaslatokkal:</w:t>
      </w:r>
    </w:p>
    <w:p w:rsidR="00D371A3" w:rsidRPr="00D371A3" w:rsidRDefault="00D371A3" w:rsidP="007420AE">
      <w:pPr>
        <w:rPr>
          <w:lang w:val="hu-HU"/>
        </w:rPr>
      </w:pPr>
    </w:p>
    <w:p w:rsidR="00D371A3" w:rsidRPr="00D371A3" w:rsidRDefault="00D371A3" w:rsidP="00A53085">
      <w:pPr>
        <w:pBdr>
          <w:top w:val="single" w:sz="4" w:space="1" w:color="auto"/>
          <w:left w:val="single" w:sz="4" w:space="4" w:color="auto"/>
          <w:bottom w:val="single" w:sz="4" w:space="1" w:color="auto"/>
          <w:right w:val="single" w:sz="4" w:space="4" w:color="auto"/>
        </w:pBdr>
        <w:shd w:val="clear" w:color="auto" w:fill="D9D9D9" w:themeFill="background1" w:themeFillShade="D9"/>
        <w:rPr>
          <w:bCs/>
          <w:i/>
          <w:lang w:val="hu-HU"/>
        </w:rPr>
      </w:pPr>
      <w:r w:rsidRPr="00D371A3">
        <w:rPr>
          <w:bCs/>
          <w:i/>
          <w:lang w:val="hu-HU"/>
        </w:rPr>
        <w:t xml:space="preserve">Javasolt kiegészített szöveg a </w:t>
      </w:r>
      <w:proofErr w:type="gramStart"/>
      <w:r w:rsidRPr="00D371A3">
        <w:rPr>
          <w:bCs/>
          <w:i/>
          <w:lang w:val="hu-HU"/>
        </w:rPr>
        <w:t>12(</w:t>
      </w:r>
      <w:proofErr w:type="gramEnd"/>
      <w:r w:rsidRPr="00D371A3">
        <w:rPr>
          <w:bCs/>
          <w:i/>
          <w:lang w:val="hu-HU"/>
        </w:rPr>
        <w:t>a) bekezdéshez:</w:t>
      </w:r>
    </w:p>
    <w:p w:rsidR="00D371A3" w:rsidRDefault="00D371A3" w:rsidP="00A53085">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p>
    <w:p w:rsidR="00D371A3" w:rsidRPr="004D0E9E" w:rsidRDefault="007420AE" w:rsidP="00A5308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hu-HU"/>
        </w:rPr>
      </w:pPr>
      <w:proofErr w:type="gramStart"/>
      <w:r w:rsidRPr="005928E1">
        <w:rPr>
          <w:bCs/>
        </w:rPr>
        <w:t xml:space="preserve">(…) </w:t>
      </w:r>
      <w:r w:rsidR="00D371A3" w:rsidRPr="004D0E9E">
        <w:rPr>
          <w:lang w:val="hu-HU"/>
        </w:rPr>
        <w:t>és a helyi vagy tágabb közösséggel való érintkezés.</w:t>
      </w:r>
      <w:proofErr w:type="gramEnd"/>
      <w:r w:rsidR="00D371A3" w:rsidRPr="004D0E9E">
        <w:rPr>
          <w:lang w:val="hu-HU"/>
        </w:rPr>
        <w:t xml:space="preserve"> </w:t>
      </w:r>
      <w:r w:rsidR="004D0E9E" w:rsidRPr="004D0E9E">
        <w:rPr>
          <w:b/>
          <w:lang w:val="hu-HU"/>
        </w:rPr>
        <w:t>Mindezeken túlmenően, az oktatási környezetet tágabb értelemben kell venni, és így a technikai személyzetnek is pozitív és inkluzív attitűdöt kell tanúsítania a fogyatékossággal élő személyekkel szemben.</w:t>
      </w:r>
    </w:p>
    <w:p w:rsidR="00D371A3" w:rsidRDefault="00D371A3" w:rsidP="00D371A3"/>
    <w:p w:rsidR="00D371A3" w:rsidRPr="00D371A3" w:rsidRDefault="00D371A3" w:rsidP="00A53085">
      <w:pPr>
        <w:pBdr>
          <w:top w:val="single" w:sz="4" w:space="1" w:color="auto"/>
          <w:left w:val="single" w:sz="4" w:space="4" w:color="auto"/>
          <w:bottom w:val="single" w:sz="4" w:space="1" w:color="auto"/>
          <w:right w:val="single" w:sz="4" w:space="4" w:color="auto"/>
        </w:pBdr>
        <w:shd w:val="clear" w:color="auto" w:fill="D9D9D9" w:themeFill="background1" w:themeFillShade="D9"/>
        <w:rPr>
          <w:bCs/>
          <w:i/>
          <w:lang w:val="hu-HU"/>
        </w:rPr>
      </w:pPr>
      <w:r w:rsidRPr="00D371A3">
        <w:rPr>
          <w:bCs/>
          <w:i/>
          <w:lang w:val="hu-HU"/>
        </w:rPr>
        <w:t xml:space="preserve">Javasolt kiegészített szöveg az </w:t>
      </w:r>
      <w:proofErr w:type="gramStart"/>
      <w:r>
        <w:rPr>
          <w:bCs/>
          <w:i/>
          <w:lang w:val="hu-HU"/>
        </w:rPr>
        <w:t>12(</w:t>
      </w:r>
      <w:proofErr w:type="gramEnd"/>
      <w:r>
        <w:rPr>
          <w:bCs/>
          <w:i/>
          <w:lang w:val="hu-HU"/>
        </w:rPr>
        <w:t>b)</w:t>
      </w:r>
      <w:r w:rsidRPr="00D371A3">
        <w:rPr>
          <w:bCs/>
          <w:i/>
          <w:lang w:val="hu-HU"/>
        </w:rPr>
        <w:t xml:space="preserve"> bekezdéshez:</w:t>
      </w:r>
    </w:p>
    <w:p w:rsidR="00D371A3" w:rsidRPr="004D0E9E" w:rsidRDefault="00D371A3" w:rsidP="00A53085">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4E552C" w:rsidRPr="004E552C" w:rsidRDefault="004D0E9E" w:rsidP="00A5308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lang w:val="hu-HU"/>
        </w:rPr>
      </w:pPr>
      <w:r w:rsidRPr="004D0E9E">
        <w:rPr>
          <w:bCs/>
          <w:lang w:val="hu-HU"/>
        </w:rPr>
        <w:t xml:space="preserve">(…) </w:t>
      </w:r>
      <w:r w:rsidR="00DB49E9">
        <w:rPr>
          <w:bCs/>
          <w:lang w:val="hu-HU"/>
        </w:rPr>
        <w:t xml:space="preserve">El kell ismerni </w:t>
      </w:r>
      <w:r w:rsidRPr="004D0E9E">
        <w:rPr>
          <w:bCs/>
          <w:lang w:val="hu-HU"/>
        </w:rPr>
        <w:t>minden gyermek vagy felnőtt tanulási k</w:t>
      </w:r>
      <w:r w:rsidR="00DB49E9">
        <w:rPr>
          <w:bCs/>
          <w:lang w:val="hu-HU"/>
        </w:rPr>
        <w:t>épességét</w:t>
      </w:r>
      <w:r w:rsidRPr="004D0E9E">
        <w:rPr>
          <w:bCs/>
          <w:lang w:val="hu-HU"/>
        </w:rPr>
        <w:t xml:space="preserve"> függetlenül attól, milyen, ill. milyen fokú sérültséggel él.</w:t>
      </w:r>
      <w:r w:rsidR="00DB49E9">
        <w:rPr>
          <w:bCs/>
          <w:lang w:val="hu-HU"/>
        </w:rPr>
        <w:t xml:space="preserve"> </w:t>
      </w:r>
      <w:r w:rsidR="00DB49E9" w:rsidRPr="00DB49E9">
        <w:rPr>
          <w:b/>
          <w:bCs/>
          <w:lang w:val="hu-HU"/>
        </w:rPr>
        <w:t>Ugyanakkor az 5. bekezdésben említett magas elvárásokat kell teremteni minden tanulóval szemben, ideértve a fogyatékossággal élő tanulókat is.</w:t>
      </w:r>
      <w:r w:rsidR="00DB49E9">
        <w:rPr>
          <w:b/>
          <w:bCs/>
          <w:lang w:val="hu-HU"/>
        </w:rPr>
        <w:t xml:space="preserve"> </w:t>
      </w:r>
      <w:r w:rsidR="00DB49E9" w:rsidRPr="00DB49E9">
        <w:rPr>
          <w:bCs/>
          <w:lang w:val="hu-HU"/>
        </w:rPr>
        <w:t>Ennek megfelelően az inkluzív oktatásban rugalmas tantervet kell kialakítani</w:t>
      </w:r>
      <w:r w:rsidR="00DB49E9">
        <w:rPr>
          <w:bCs/>
          <w:lang w:val="hu-HU"/>
        </w:rPr>
        <w:t xml:space="preserve"> (…) </w:t>
      </w:r>
      <w:r w:rsidR="00DB49E9" w:rsidRPr="00DB49E9">
        <w:rPr>
          <w:bCs/>
          <w:lang w:val="hu-HU"/>
        </w:rPr>
        <w:t>ez a szemlélet az oktatási rendszerre helyezi a személyre szabott oktatási megoldás kötelezettségét a helyett, hogy a tanulótól vár</w:t>
      </w:r>
      <w:r w:rsidR="00DB49E9">
        <w:rPr>
          <w:bCs/>
          <w:lang w:val="hu-HU"/>
        </w:rPr>
        <w:t>ná</w:t>
      </w:r>
      <w:r w:rsidR="00DB49E9" w:rsidRPr="00DB49E9">
        <w:rPr>
          <w:bCs/>
          <w:lang w:val="hu-HU"/>
        </w:rPr>
        <w:t xml:space="preserve"> el, hogy alkalmazkodjon a rendszerhez.</w:t>
      </w:r>
      <w:r w:rsidR="00DB49E9">
        <w:rPr>
          <w:bCs/>
          <w:lang w:val="hu-HU"/>
        </w:rPr>
        <w:t xml:space="preserve"> </w:t>
      </w:r>
      <w:r w:rsidR="00DB49E9" w:rsidRPr="00DB49E9">
        <w:rPr>
          <w:b/>
          <w:bCs/>
          <w:lang w:val="hu-HU"/>
        </w:rPr>
        <w:t xml:space="preserve">Mindemellett, </w:t>
      </w:r>
      <w:r w:rsidR="00E6350A">
        <w:rPr>
          <w:b/>
          <w:bCs/>
          <w:lang w:val="hu-HU"/>
        </w:rPr>
        <w:t xml:space="preserve">a CRPD 9. cikkével összhangban, </w:t>
      </w:r>
      <w:r w:rsidR="00DB49E9" w:rsidRPr="00DB49E9">
        <w:rPr>
          <w:b/>
          <w:bCs/>
          <w:lang w:val="hu-HU"/>
        </w:rPr>
        <w:t xml:space="preserve">a „teljes embert tekintetbe vevő megközelítés” magában foglalja </w:t>
      </w:r>
      <w:r w:rsidR="004E552C" w:rsidRPr="004E552C">
        <w:rPr>
          <w:b/>
          <w:bCs/>
          <w:lang w:val="hu-HU"/>
        </w:rPr>
        <w:t xml:space="preserve">a hozzáférési akadályok és korlátok </w:t>
      </w:r>
      <w:r w:rsidR="005B02F4">
        <w:rPr>
          <w:b/>
          <w:bCs/>
          <w:lang w:val="hu-HU"/>
        </w:rPr>
        <w:t xml:space="preserve">beazonosítását és felszámolását az iskolákra </w:t>
      </w:r>
      <w:r w:rsidR="004E552C" w:rsidRPr="004E552C">
        <w:rPr>
          <w:b/>
          <w:bCs/>
          <w:lang w:val="hu-HU"/>
        </w:rPr>
        <w:t>vonatkoz</w:t>
      </w:r>
      <w:r w:rsidR="005B02F4">
        <w:rPr>
          <w:b/>
          <w:bCs/>
          <w:lang w:val="hu-HU"/>
        </w:rPr>
        <w:t>óan annak érdekében, hogy a fogyatékossággal élő személyek számára lehetővé váljon az inkluzív oktatási rendszerben való részvétel.</w:t>
      </w:r>
    </w:p>
    <w:p w:rsidR="00DB49E9" w:rsidRDefault="00DB49E9" w:rsidP="00DB49E9">
      <w:pPr>
        <w:jc w:val="both"/>
        <w:rPr>
          <w:bCs/>
          <w:lang w:val="hu-HU"/>
        </w:rPr>
      </w:pPr>
    </w:p>
    <w:p w:rsidR="00A53085" w:rsidRPr="00391E6A" w:rsidRDefault="007420AE" w:rsidP="007420AE">
      <w:pPr>
        <w:contextualSpacing/>
        <w:jc w:val="both"/>
        <w:rPr>
          <w:lang w:val="hu-HU"/>
        </w:rPr>
      </w:pPr>
      <w:r w:rsidRPr="00391E6A">
        <w:rPr>
          <w:b/>
          <w:lang w:val="hu-HU"/>
        </w:rPr>
        <w:t>8.</w:t>
      </w:r>
      <w:r w:rsidR="00A53085" w:rsidRPr="00391E6A">
        <w:rPr>
          <w:lang w:val="hu-HU"/>
        </w:rPr>
        <w:t xml:space="preserve"> Az Általános Kommentár Tervezet 20. bekezdése szerint:</w:t>
      </w:r>
    </w:p>
    <w:p w:rsidR="001761E2" w:rsidRPr="00391E6A" w:rsidRDefault="00A53085" w:rsidP="00E743FA">
      <w:pPr>
        <w:ind w:left="708"/>
        <w:contextualSpacing/>
        <w:jc w:val="both"/>
        <w:rPr>
          <w:lang w:val="hu-HU"/>
        </w:rPr>
      </w:pPr>
      <w:r w:rsidRPr="00391E6A">
        <w:rPr>
          <w:lang w:val="hu-HU"/>
        </w:rPr>
        <w:t xml:space="preserve">„Elérhetőség – megfelelő számú </w:t>
      </w:r>
      <w:r w:rsidR="00F977B6">
        <w:rPr>
          <w:lang w:val="hu-HU"/>
        </w:rPr>
        <w:t>funkcionáló</w:t>
      </w:r>
      <w:r w:rsidRPr="00391E6A">
        <w:rPr>
          <w:lang w:val="hu-HU"/>
        </w:rPr>
        <w:t xml:space="preserve"> oktatási intézménynek és programnak kell rendelkezésre állnia az adott részes állam joghatósága alatt. A konkrét </w:t>
      </w:r>
      <w:r w:rsidR="00B4619F" w:rsidRPr="00391E6A">
        <w:rPr>
          <w:lang w:val="hu-HU"/>
        </w:rPr>
        <w:t xml:space="preserve">követelmények, melyek alapján ezeket </w:t>
      </w:r>
      <w:r w:rsidRPr="00391E6A">
        <w:rPr>
          <w:i/>
          <w:lang w:val="hu-HU"/>
        </w:rPr>
        <w:t>a fogyatékossággal élő személyek számára</w:t>
      </w:r>
      <w:r w:rsidRPr="00391E6A">
        <w:rPr>
          <w:lang w:val="hu-HU"/>
        </w:rPr>
        <w:t xml:space="preserve"> használható</w:t>
      </w:r>
      <w:r w:rsidR="00B4619F" w:rsidRPr="00391E6A">
        <w:rPr>
          <w:lang w:val="hu-HU"/>
        </w:rPr>
        <w:t>vá kell tenni</w:t>
      </w:r>
      <w:r w:rsidRPr="00391E6A">
        <w:rPr>
          <w:lang w:val="hu-HU"/>
        </w:rPr>
        <w:t>, a</w:t>
      </w:r>
      <w:r w:rsidR="00B4619F" w:rsidRPr="00391E6A">
        <w:rPr>
          <w:lang w:val="hu-HU"/>
        </w:rPr>
        <w:t xml:space="preserve"> működésük </w:t>
      </w:r>
      <w:r w:rsidR="00E743FA" w:rsidRPr="00391E6A">
        <w:rPr>
          <w:lang w:val="hu-HU"/>
        </w:rPr>
        <w:t>kontextusának fejlettségétől függnek (</w:t>
      </w:r>
      <w:proofErr w:type="gramStart"/>
      <w:r w:rsidR="00E743FA" w:rsidRPr="00391E6A">
        <w:rPr>
          <w:lang w:val="hu-HU"/>
        </w:rPr>
        <w:t>...</w:t>
      </w:r>
      <w:proofErr w:type="gramEnd"/>
      <w:r w:rsidR="00E743FA" w:rsidRPr="00391E6A">
        <w:rPr>
          <w:lang w:val="hu-HU"/>
        </w:rPr>
        <w:t>)”</w:t>
      </w:r>
    </w:p>
    <w:p w:rsidR="00E743FA" w:rsidRPr="00391E6A" w:rsidRDefault="00E743FA" w:rsidP="007420AE">
      <w:pPr>
        <w:contextualSpacing/>
        <w:jc w:val="both"/>
        <w:rPr>
          <w:lang w:val="hu-HU"/>
        </w:rPr>
      </w:pPr>
    </w:p>
    <w:p w:rsidR="002B7751" w:rsidRPr="00391E6A" w:rsidRDefault="00E743FA" w:rsidP="00E743FA">
      <w:pPr>
        <w:contextualSpacing/>
        <w:jc w:val="both"/>
        <w:rPr>
          <w:lang w:val="hu-HU"/>
        </w:rPr>
      </w:pPr>
      <w:r w:rsidRPr="00391E6A">
        <w:rPr>
          <w:lang w:val="hu-HU"/>
        </w:rPr>
        <w:t xml:space="preserve">Az Általános Kommentár Tervezet 20. bekezdésének szövege hasonlít a Gazdasági, Szociális és Kulturális Jogok Bizottsága oktatáshoz való jogról szóló 13. számú Általános Kommentárának (CESCR </w:t>
      </w:r>
      <w:r w:rsidRPr="00391E6A">
        <w:rPr>
          <w:lang w:val="hu-HU"/>
        </w:rPr>
        <w:fldChar w:fldCharType="begin"/>
      </w:r>
      <w:r w:rsidRPr="00391E6A">
        <w:rPr>
          <w:lang w:val="hu-HU"/>
        </w:rPr>
        <w:instrText xml:space="preserve"> FILLIN "Symbol" \* MERGEFORMAT </w:instrText>
      </w:r>
      <w:r w:rsidRPr="00391E6A">
        <w:rPr>
          <w:lang w:val="hu-HU"/>
        </w:rPr>
        <w:fldChar w:fldCharType="separate"/>
      </w:r>
      <w:r w:rsidRPr="00391E6A">
        <w:rPr>
          <w:lang w:val="hu-HU"/>
        </w:rPr>
        <w:t>E/C.12/1999/10</w:t>
      </w:r>
      <w:r w:rsidRPr="00391E6A">
        <w:rPr>
          <w:lang w:val="hu-HU"/>
        </w:rPr>
        <w:fldChar w:fldCharType="end"/>
      </w:r>
      <w:r w:rsidRPr="00391E6A">
        <w:rPr>
          <w:lang w:val="hu-HU"/>
        </w:rPr>
        <w:t xml:space="preserve">) </w:t>
      </w:r>
      <w:proofErr w:type="gramStart"/>
      <w:r w:rsidRPr="00391E6A">
        <w:rPr>
          <w:lang w:val="hu-HU"/>
        </w:rPr>
        <w:t>6(</w:t>
      </w:r>
      <w:proofErr w:type="gramEnd"/>
      <w:r w:rsidRPr="00391E6A">
        <w:rPr>
          <w:lang w:val="hu-HU"/>
        </w:rPr>
        <w:t xml:space="preserve">a) bekezdésére. Ugyanakkor, a Gazdasági, </w:t>
      </w:r>
      <w:r w:rsidRPr="00391E6A">
        <w:rPr>
          <w:lang w:val="hu-HU"/>
        </w:rPr>
        <w:lastRenderedPageBreak/>
        <w:t>Szociális és Kulturális Jogok Bizottsága Általános Kommentára azt mo</w:t>
      </w:r>
      <w:r w:rsidR="002B7751" w:rsidRPr="00391E6A">
        <w:rPr>
          <w:lang w:val="hu-HU"/>
        </w:rPr>
        <w:t>n</w:t>
      </w:r>
      <w:r w:rsidRPr="00391E6A">
        <w:rPr>
          <w:lang w:val="hu-HU"/>
        </w:rPr>
        <w:t xml:space="preserve">dja, hogy </w:t>
      </w:r>
      <w:r w:rsidR="002B7751" w:rsidRPr="00391E6A">
        <w:rPr>
          <w:lang w:val="hu-HU"/>
        </w:rPr>
        <w:t xml:space="preserve">az oktatási intézmények és programok </w:t>
      </w:r>
      <w:r w:rsidR="00F977B6">
        <w:rPr>
          <w:lang w:val="hu-HU"/>
        </w:rPr>
        <w:t>funkcionálása</w:t>
      </w:r>
      <w:r w:rsidR="002B7751" w:rsidRPr="00391E6A">
        <w:rPr>
          <w:lang w:val="hu-HU"/>
        </w:rPr>
        <w:t xml:space="preserve"> számos tényezőtől függ, ideértve a működési kontextus fejlettségét is. Így, figyelemmel az Általános Kommentár Tervezetre és a Gazdasági, Szociális és Kulturális Jogok Bizottsága Általános Kommentárára, olyan helyzet is </w:t>
      </w:r>
      <w:proofErr w:type="gramStart"/>
      <w:r w:rsidR="002B7751" w:rsidRPr="00391E6A">
        <w:rPr>
          <w:lang w:val="hu-HU"/>
        </w:rPr>
        <w:t>elképzelhető</w:t>
      </w:r>
      <w:proofErr w:type="gramEnd"/>
      <w:r w:rsidR="002B7751" w:rsidRPr="00391E6A">
        <w:rPr>
          <w:lang w:val="hu-HU"/>
        </w:rPr>
        <w:t xml:space="preserve"> amelyben a fejlettségi kontextus az oktatási intézményeket és programokat használhatóvá teszi a nem-fogyatékos személyek számára, de nem teszi használhatóvá a fogyatékossággal élő személyek számára. A MEOSZ úgy véli, hogy egy ilyen h</w:t>
      </w:r>
      <w:r w:rsidR="00391E6A" w:rsidRPr="00391E6A">
        <w:rPr>
          <w:lang w:val="hu-HU"/>
        </w:rPr>
        <w:t xml:space="preserve">elyzetet nem szabad támogatnia </w:t>
      </w:r>
      <w:r w:rsidR="002B7751" w:rsidRPr="00391E6A">
        <w:rPr>
          <w:lang w:val="hu-HU"/>
        </w:rPr>
        <w:t>az inkluzív oktatáshoz való jogról szóló Általános Kommentárnak.</w:t>
      </w:r>
    </w:p>
    <w:p w:rsidR="002B7751" w:rsidRDefault="002B7751" w:rsidP="00E743FA">
      <w:pPr>
        <w:contextualSpacing/>
        <w:jc w:val="both"/>
      </w:pPr>
    </w:p>
    <w:p w:rsidR="00391E6A" w:rsidRPr="00391E6A" w:rsidRDefault="00391E6A" w:rsidP="00F977B6">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391E6A">
        <w:rPr>
          <w:bCs/>
          <w:i/>
          <w:lang w:val="hu-HU"/>
        </w:rPr>
        <w:t xml:space="preserve">Javasolt </w:t>
      </w:r>
      <w:r>
        <w:rPr>
          <w:bCs/>
          <w:i/>
          <w:lang w:val="hu-HU"/>
        </w:rPr>
        <w:t>módosított</w:t>
      </w:r>
      <w:r w:rsidRPr="00391E6A">
        <w:rPr>
          <w:bCs/>
          <w:i/>
          <w:lang w:val="hu-HU"/>
        </w:rPr>
        <w:t xml:space="preserve"> szöveg a</w:t>
      </w:r>
      <w:r>
        <w:rPr>
          <w:bCs/>
          <w:i/>
          <w:lang w:val="hu-HU"/>
        </w:rPr>
        <w:t xml:space="preserve"> 20.</w:t>
      </w:r>
      <w:r w:rsidRPr="00391E6A">
        <w:rPr>
          <w:bCs/>
          <w:i/>
          <w:lang w:val="hu-HU"/>
        </w:rPr>
        <w:t xml:space="preserve"> bekezdéshez:</w:t>
      </w:r>
    </w:p>
    <w:p w:rsidR="00E743FA" w:rsidRDefault="00E743FA" w:rsidP="00F977B6">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391E6A" w:rsidRPr="00F977B6" w:rsidRDefault="00391E6A" w:rsidP="00F977B6">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strike/>
          <w:lang w:val="hu-HU"/>
        </w:rPr>
      </w:pPr>
      <w:r w:rsidRPr="00F977B6">
        <w:rPr>
          <w:lang w:val="hu-HU"/>
        </w:rPr>
        <w:t xml:space="preserve">„Elérhetőség – </w:t>
      </w:r>
      <w:r w:rsidR="00F977B6" w:rsidRPr="00F977B6">
        <w:rPr>
          <w:b/>
          <w:lang w:val="hu-HU"/>
        </w:rPr>
        <w:t>a fogyatékossággal élő személyek számára, másokkal azonos alapon,</w:t>
      </w:r>
      <w:r w:rsidR="00F977B6" w:rsidRPr="00F977B6">
        <w:rPr>
          <w:lang w:val="hu-HU"/>
        </w:rPr>
        <w:t xml:space="preserve"> </w:t>
      </w:r>
      <w:r w:rsidRPr="00F977B6">
        <w:rPr>
          <w:lang w:val="hu-HU"/>
        </w:rPr>
        <w:t>megfelelő számú működő oktatási intézménynek és programnak kell rendelkezésre állnia a fogyatékossággal élő személyek számára az adott részes állam joghatósága alatt.</w:t>
      </w:r>
      <w:r w:rsidR="00F977B6" w:rsidRPr="00F977B6">
        <w:rPr>
          <w:lang w:val="hu-HU"/>
        </w:rPr>
        <w:t xml:space="preserve"> Mindaz, amire szükségük van a funkcionáláshoz, számos tényezőtől függ, ideértve a működési kontextus fejlettségét is. </w:t>
      </w:r>
      <w:r w:rsidRPr="00F977B6">
        <w:rPr>
          <w:strike/>
          <w:lang w:val="hu-HU"/>
        </w:rPr>
        <w:t xml:space="preserve">A konkrét követelmények, melyek alapján ezeket </w:t>
      </w:r>
      <w:r w:rsidRPr="00F977B6">
        <w:rPr>
          <w:i/>
          <w:strike/>
          <w:lang w:val="hu-HU"/>
        </w:rPr>
        <w:t>a fogyatékossággal élő személyek számára</w:t>
      </w:r>
      <w:r w:rsidRPr="00F977B6">
        <w:rPr>
          <w:strike/>
          <w:lang w:val="hu-HU"/>
        </w:rPr>
        <w:t xml:space="preserve"> használhatóvá kell tenni, a működésük kontextusának fejlettségétől függnek, de magukban kell foglalniuk például azt a követelményt, hogy a fogyatékossággal élő személyekről pontos adatokkal kel rendelkezniük annak érdekében, hogy garantálni lehessen a szükséges számú rendelkezésre álló helyet és oktató-nevelő személyzetet minden szinten.</w:t>
      </w:r>
    </w:p>
    <w:p w:rsidR="007420AE" w:rsidRDefault="007420AE" w:rsidP="007420AE">
      <w:pPr>
        <w:ind w:left="720"/>
        <w:contextualSpacing/>
        <w:jc w:val="both"/>
      </w:pPr>
    </w:p>
    <w:p w:rsidR="00CA0B15" w:rsidRPr="00CA0B15" w:rsidRDefault="007420AE" w:rsidP="00CA0B15">
      <w:pPr>
        <w:contextualSpacing/>
        <w:jc w:val="both"/>
        <w:rPr>
          <w:lang w:val="hu-HU"/>
        </w:rPr>
      </w:pPr>
      <w:r w:rsidRPr="00BF5B77">
        <w:rPr>
          <w:b/>
        </w:rPr>
        <w:t>9.</w:t>
      </w:r>
      <w:r>
        <w:t xml:space="preserve"> </w:t>
      </w:r>
      <w:r w:rsidR="00CA0B15" w:rsidRPr="00CA0B15">
        <w:rPr>
          <w:lang w:val="hu-HU"/>
        </w:rPr>
        <w:t xml:space="preserve">Üdvözöljük a Bizottság azon megközelítését, hogy amikor </w:t>
      </w:r>
      <w:proofErr w:type="gramStart"/>
      <w:r w:rsidR="00CA0B15" w:rsidRPr="00CA0B15">
        <w:rPr>
          <w:lang w:val="hu-HU"/>
        </w:rPr>
        <w:t>az</w:t>
      </w:r>
      <w:proofErr w:type="gramEnd"/>
      <w:r w:rsidR="00CA0B15" w:rsidRPr="00CA0B15">
        <w:rPr>
          <w:lang w:val="hu-HU"/>
        </w:rPr>
        <w:t xml:space="preserve"> inkluzív oktatás bizonyos aspektusait magyarázza, akkor konkrét példákkal is szemlélteti azt. E példák minden bizonnyal megkönnyítik az inkluzív oktatáshoz való jog tényleges implementációját. Különösen is szeretnénk kiemelni az Általános Kommentár Tervezet 29. bekezdésében található azon példát, amely szerint az ésszerű alkalmazkodások magukban foglalhatják az osztályterem helyének a megváltoztatását. E példa nagyon fontos a MEOSZ számára, mivel a közelmúltban volt egy olyan esetünk, hogy egy mozgáskorlátozott személytől megtagadták azt az alkalmazkodást, hogy a nem akadálymentesített emeleti részről az akadálymentes földszinti részre helyezzék át az osztálytermet. A MEOSZ örömmel venne még egy példát ennél a résznél az alábbiak szerint.</w:t>
      </w:r>
    </w:p>
    <w:p w:rsidR="007420AE" w:rsidRDefault="007420AE" w:rsidP="00CA0B15">
      <w:pPr>
        <w:contextualSpacing/>
        <w:jc w:val="both"/>
      </w:pPr>
    </w:p>
    <w:p w:rsidR="00CA0B15" w:rsidRPr="00CA0B15" w:rsidRDefault="00CA0B15" w:rsidP="00CA0B1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CA0B15">
        <w:rPr>
          <w:bCs/>
          <w:i/>
          <w:lang w:val="hu-HU"/>
        </w:rPr>
        <w:t>Javasolt módosított szöveg a 2</w:t>
      </w:r>
      <w:r>
        <w:rPr>
          <w:bCs/>
          <w:i/>
          <w:lang w:val="hu-HU"/>
        </w:rPr>
        <w:t>9</w:t>
      </w:r>
      <w:r w:rsidRPr="00CA0B15">
        <w:rPr>
          <w:bCs/>
          <w:i/>
          <w:lang w:val="hu-HU"/>
        </w:rPr>
        <w:t>. bekezdéshez:</w:t>
      </w:r>
    </w:p>
    <w:p w:rsidR="00CA0B15" w:rsidRPr="00CA0B15" w:rsidRDefault="00CA0B15" w:rsidP="00CA0B1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p>
    <w:p w:rsidR="00CA0B15" w:rsidRPr="00CA0B15" w:rsidRDefault="00CA0B15" w:rsidP="00CA0B1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r w:rsidRPr="00CA0B15">
        <w:rPr>
          <w:lang w:val="hu-HU"/>
        </w:rPr>
        <w:t xml:space="preserve">(…) Az alkalmazkodások magukban foglalhatják az osztályterem helyének a megváltoztatását, </w:t>
      </w:r>
      <w:r w:rsidRPr="00CA0B15">
        <w:rPr>
          <w:b/>
          <w:lang w:val="hu-HU"/>
        </w:rPr>
        <w:t>személyi segítők biztosítását a tanulók számára</w:t>
      </w:r>
      <w:r w:rsidRPr="00CA0B15">
        <w:rPr>
          <w:lang w:val="hu-HU"/>
        </w:rPr>
        <w:t>, az osztályon belüli kommunikáció különféle formáinak biztosítását (…)</w:t>
      </w:r>
    </w:p>
    <w:p w:rsidR="00CA0B15" w:rsidRDefault="00CA0B15" w:rsidP="007420AE">
      <w:pPr>
        <w:contextualSpacing/>
        <w:jc w:val="both"/>
      </w:pPr>
    </w:p>
    <w:p w:rsidR="00BD5ABC" w:rsidRPr="00BD5ABC" w:rsidRDefault="007420AE" w:rsidP="007420AE">
      <w:pPr>
        <w:contextualSpacing/>
        <w:jc w:val="both"/>
        <w:rPr>
          <w:lang w:val="hu-HU"/>
        </w:rPr>
      </w:pPr>
      <w:r w:rsidRPr="004617B2">
        <w:rPr>
          <w:b/>
          <w:lang w:val="hu-HU"/>
        </w:rPr>
        <w:t>10.</w:t>
      </w:r>
      <w:r w:rsidR="00BD5ABC" w:rsidRPr="004617B2">
        <w:rPr>
          <w:lang w:val="hu-HU"/>
        </w:rPr>
        <w:t xml:space="preserve"> </w:t>
      </w:r>
      <w:r w:rsidR="008575FA" w:rsidRPr="004617B2">
        <w:rPr>
          <w:lang w:val="hu-HU"/>
        </w:rPr>
        <w:t xml:space="preserve">Az Általános Kommentár Tervezet </w:t>
      </w:r>
      <w:r w:rsidR="004617B2">
        <w:rPr>
          <w:lang w:val="hu-HU"/>
        </w:rPr>
        <w:t>35</w:t>
      </w:r>
      <w:r w:rsidR="008575FA" w:rsidRPr="004617B2">
        <w:rPr>
          <w:lang w:val="hu-HU"/>
        </w:rPr>
        <w:t xml:space="preserve">. bekezdése </w:t>
      </w:r>
      <w:r w:rsidR="00BD5ABC" w:rsidRPr="004617B2">
        <w:rPr>
          <w:lang w:val="hu-HU"/>
        </w:rPr>
        <w:t>annak fontosságával foglalkozik, hogy olyan tanárokat</w:t>
      </w:r>
      <w:r w:rsidR="00BD5ABC" w:rsidRPr="00BD5ABC">
        <w:rPr>
          <w:lang w:val="hu-HU"/>
        </w:rPr>
        <w:t xml:space="preserve"> kell alkalmazni, akik rendelkeznek az inkluzív oktatáshoz szükséges készségekkel. </w:t>
      </w:r>
      <w:r w:rsidR="00BD5ABC">
        <w:rPr>
          <w:lang w:val="hu-HU"/>
        </w:rPr>
        <w:t>A MEOSZ üdvözölné, ha a pedagógusképzéssel kapcsolatosan explicit utalás történne a fogyatékosság emberi jogi modelljére.</w:t>
      </w:r>
    </w:p>
    <w:p w:rsidR="008575FA" w:rsidRDefault="008575FA" w:rsidP="007420AE">
      <w:pPr>
        <w:contextualSpacing/>
        <w:jc w:val="both"/>
        <w:rPr>
          <w:lang w:val="en-GB"/>
        </w:rPr>
      </w:pPr>
    </w:p>
    <w:p w:rsidR="00BD5ABC" w:rsidRPr="00BD5ABC" w:rsidRDefault="00BD5ABC" w:rsidP="004617B2">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BD5ABC">
        <w:rPr>
          <w:bCs/>
          <w:i/>
          <w:lang w:val="hu-HU"/>
        </w:rPr>
        <w:t xml:space="preserve">Javasolt módosított szöveg a </w:t>
      </w:r>
      <w:r>
        <w:rPr>
          <w:bCs/>
          <w:i/>
          <w:lang w:val="hu-HU"/>
        </w:rPr>
        <w:t>35</w:t>
      </w:r>
      <w:r w:rsidRPr="00BD5ABC">
        <w:rPr>
          <w:bCs/>
          <w:i/>
          <w:lang w:val="hu-HU"/>
        </w:rPr>
        <w:t>. bekezdéshez:</w:t>
      </w:r>
    </w:p>
    <w:p w:rsidR="00BD5ABC" w:rsidRDefault="00BD5ABC" w:rsidP="004617B2">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en-GB"/>
        </w:rPr>
      </w:pPr>
    </w:p>
    <w:p w:rsidR="00BD5ABC" w:rsidRPr="00BD5ABC" w:rsidRDefault="00BD5ABC" w:rsidP="004617B2">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r>
        <w:rPr>
          <w:lang w:val="hu-HU"/>
        </w:rPr>
        <w:t xml:space="preserve">(…) </w:t>
      </w:r>
      <w:r w:rsidRPr="00BD5ABC">
        <w:rPr>
          <w:lang w:val="hu-HU"/>
        </w:rPr>
        <w:t xml:space="preserve">A részes államoknak </w:t>
      </w:r>
      <w:r>
        <w:rPr>
          <w:lang w:val="hu-HU"/>
        </w:rPr>
        <w:t xml:space="preserve">be kell fektetniük </w:t>
      </w:r>
      <w:r w:rsidR="004617B2">
        <w:rPr>
          <w:lang w:val="hu-HU"/>
        </w:rPr>
        <w:t xml:space="preserve">a </w:t>
      </w:r>
      <w:r w:rsidR="004617B2" w:rsidRPr="004617B2">
        <w:rPr>
          <w:b/>
          <w:lang w:val="hu-HU"/>
        </w:rPr>
        <w:t>fogyatékosság emberi jogi modelljén alapuló</w:t>
      </w:r>
      <w:r w:rsidR="004617B2">
        <w:rPr>
          <w:lang w:val="hu-HU"/>
        </w:rPr>
        <w:t xml:space="preserve"> fogyatékosság </w:t>
      </w:r>
      <w:r w:rsidRPr="00BD5ABC">
        <w:rPr>
          <w:lang w:val="hu-HU"/>
        </w:rPr>
        <w:t>ügy</w:t>
      </w:r>
      <w:r w:rsidR="004617B2">
        <w:rPr>
          <w:lang w:val="hu-HU"/>
        </w:rPr>
        <w:t xml:space="preserve">nek </w:t>
      </w:r>
      <w:r w:rsidRPr="00BD5ABC">
        <w:rPr>
          <w:lang w:val="hu-HU"/>
        </w:rPr>
        <w:t>a tanárképzés</w:t>
      </w:r>
      <w:r w:rsidR="004617B2">
        <w:rPr>
          <w:lang w:val="hu-HU"/>
        </w:rPr>
        <w:t xml:space="preserve"> kezdeti szakaszába történő beillesztésébe</w:t>
      </w:r>
      <w:r w:rsidRPr="00BD5ABC">
        <w:rPr>
          <w:lang w:val="hu-HU"/>
        </w:rPr>
        <w:t xml:space="preserve">, annak érdekében, hogy a tanárok megszerezzék </w:t>
      </w:r>
      <w:r w:rsidR="004617B2">
        <w:rPr>
          <w:lang w:val="hu-HU"/>
        </w:rPr>
        <w:t>a különböző képességekkel rendelkező diákokkal,</w:t>
      </w:r>
      <w:r w:rsidRPr="00BD5ABC">
        <w:rPr>
          <w:lang w:val="hu-HU"/>
        </w:rPr>
        <w:t xml:space="preserve"> </w:t>
      </w:r>
      <w:r w:rsidR="004617B2">
        <w:rPr>
          <w:lang w:val="hu-HU"/>
        </w:rPr>
        <w:t xml:space="preserve">inkluzív környezetben történő munkához az </w:t>
      </w:r>
      <w:r w:rsidRPr="00BD5ABC">
        <w:rPr>
          <w:lang w:val="hu-HU"/>
        </w:rPr>
        <w:t>elhivatottságot</w:t>
      </w:r>
      <w:r w:rsidR="004617B2">
        <w:rPr>
          <w:lang w:val="hu-HU"/>
        </w:rPr>
        <w:t>, a készséget és a hozzáértést (…).</w:t>
      </w:r>
    </w:p>
    <w:p w:rsidR="00A60B11" w:rsidRDefault="00A60B11" w:rsidP="007420AE">
      <w:pPr>
        <w:contextualSpacing/>
        <w:jc w:val="both"/>
        <w:rPr>
          <w:b/>
        </w:rPr>
      </w:pPr>
    </w:p>
    <w:p w:rsidR="00A60B11" w:rsidRPr="00A60B11" w:rsidRDefault="007420AE" w:rsidP="00A60B11">
      <w:pPr>
        <w:contextualSpacing/>
        <w:jc w:val="both"/>
        <w:rPr>
          <w:lang w:val="hu-HU"/>
        </w:rPr>
      </w:pPr>
      <w:r w:rsidRPr="003E108B">
        <w:rPr>
          <w:b/>
          <w:lang w:val="hu-HU"/>
        </w:rPr>
        <w:lastRenderedPageBreak/>
        <w:t>11.</w:t>
      </w:r>
      <w:r w:rsidR="00A60B11" w:rsidRPr="003E108B">
        <w:rPr>
          <w:lang w:val="hu-HU"/>
        </w:rPr>
        <w:t xml:space="preserve"> Az Általános Kommentár Tervezet 38. bekezdése az inkluzív oktatás alapvető jellemzőiként megemlíti az elérhetőséget, a hozzáférhetőséget, az elfogadhatóságot és az adaptálhatóságot. Habár a „minőség”, mint az oktatás fontos jellemzője szerepel a CRPD </w:t>
      </w:r>
      <w:proofErr w:type="gramStart"/>
      <w:r w:rsidR="00A60B11" w:rsidRPr="003E108B">
        <w:rPr>
          <w:lang w:val="hu-HU"/>
        </w:rPr>
        <w:t>24(</w:t>
      </w:r>
      <w:proofErr w:type="gramEnd"/>
      <w:r w:rsidR="00A60B11" w:rsidRPr="003E108B">
        <w:rPr>
          <w:lang w:val="hu-HU"/>
        </w:rPr>
        <w:t>2)(b) cikkében</w:t>
      </w:r>
      <w:r w:rsidR="00A60B11" w:rsidRPr="00A60B11">
        <w:rPr>
          <w:lang w:val="hu-HU"/>
        </w:rPr>
        <w:t xml:space="preserve"> és az Általános Kommentár Tervezet 26. bekezdésében, a 38. bekezdésben nem történik rá utalás.</w:t>
      </w:r>
    </w:p>
    <w:p w:rsidR="007420AE" w:rsidRDefault="007420AE" w:rsidP="007420AE">
      <w:pPr>
        <w:contextualSpacing/>
        <w:jc w:val="both"/>
      </w:pPr>
    </w:p>
    <w:p w:rsidR="00A60B11" w:rsidRPr="00A60B11" w:rsidRDefault="00A60B11" w:rsidP="003E108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3E108B">
        <w:rPr>
          <w:bCs/>
          <w:i/>
          <w:lang w:val="hu-HU"/>
        </w:rPr>
        <w:t>Javasolt módosított szöveg a 38. bekezdéshez:</w:t>
      </w:r>
    </w:p>
    <w:p w:rsidR="00A60B11" w:rsidRDefault="00A60B11" w:rsidP="003E108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A60B11" w:rsidRPr="00A60B11" w:rsidRDefault="00A60B11" w:rsidP="003E108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r w:rsidRPr="00A60B11">
        <w:rPr>
          <w:lang w:val="hu-HU"/>
        </w:rPr>
        <w:t>Az inkluzív oktatásh</w:t>
      </w:r>
      <w:r w:rsidRPr="003E108B">
        <w:rPr>
          <w:lang w:val="hu-HU"/>
        </w:rPr>
        <w:t xml:space="preserve">oz való jog kötelezettségeket ró a részes államokra, hogy </w:t>
      </w:r>
      <w:r w:rsidRPr="003E108B">
        <w:rPr>
          <w:iCs/>
          <w:lang w:val="hu-HU"/>
        </w:rPr>
        <w:t>tiszteljék, védjék és teljesítsék</w:t>
      </w:r>
      <w:r w:rsidRPr="00A60B11">
        <w:rPr>
          <w:lang w:val="hu-HU"/>
        </w:rPr>
        <w:t xml:space="preserve"> az oktatás minden egyes alapvető jellemzőjét: </w:t>
      </w:r>
      <w:r w:rsidRPr="00A60B11">
        <w:rPr>
          <w:bCs/>
          <w:lang w:val="hu-HU"/>
        </w:rPr>
        <w:t>az elérhetőséget, a</w:t>
      </w:r>
      <w:r w:rsidR="003E108B">
        <w:rPr>
          <w:bCs/>
          <w:lang w:val="hu-HU"/>
        </w:rPr>
        <w:t xml:space="preserve"> hozzáférhetőséget</w:t>
      </w:r>
      <w:r w:rsidRPr="00A60B11">
        <w:rPr>
          <w:bCs/>
          <w:lang w:val="hu-HU"/>
        </w:rPr>
        <w:t>, az elfogadhatóságot</w:t>
      </w:r>
      <w:r w:rsidR="003E108B">
        <w:rPr>
          <w:bCs/>
          <w:lang w:val="hu-HU"/>
        </w:rPr>
        <w:t xml:space="preserve">, </w:t>
      </w:r>
      <w:r w:rsidRPr="00A60B11">
        <w:rPr>
          <w:bCs/>
          <w:lang w:val="hu-HU"/>
        </w:rPr>
        <w:t>az adaptálhatóságot</w:t>
      </w:r>
      <w:r w:rsidR="003E108B">
        <w:rPr>
          <w:bCs/>
          <w:lang w:val="hu-HU"/>
        </w:rPr>
        <w:t xml:space="preserve"> </w:t>
      </w:r>
      <w:r w:rsidR="003E108B" w:rsidRPr="003E108B">
        <w:rPr>
          <w:b/>
          <w:bCs/>
          <w:lang w:val="hu-HU"/>
        </w:rPr>
        <w:t>és a minőséget</w:t>
      </w:r>
      <w:r w:rsidR="003E108B">
        <w:rPr>
          <w:b/>
          <w:bCs/>
          <w:lang w:val="hu-HU"/>
        </w:rPr>
        <w:t xml:space="preserve"> </w:t>
      </w:r>
      <w:r w:rsidR="003E108B">
        <w:rPr>
          <w:bCs/>
          <w:lang w:val="hu-HU"/>
        </w:rPr>
        <w:t>(…)</w:t>
      </w:r>
      <w:r w:rsidRPr="00A60B11">
        <w:rPr>
          <w:bCs/>
          <w:lang w:val="hu-HU"/>
        </w:rPr>
        <w:t>.</w:t>
      </w:r>
      <w:r w:rsidRPr="00A60B11">
        <w:rPr>
          <w:lang w:val="hu-HU"/>
        </w:rPr>
        <w:t xml:space="preserve">  </w:t>
      </w:r>
    </w:p>
    <w:p w:rsidR="00A60B11" w:rsidRDefault="00A60B11" w:rsidP="00A60B11">
      <w:pPr>
        <w:contextualSpacing/>
        <w:jc w:val="both"/>
      </w:pPr>
    </w:p>
    <w:p w:rsidR="003E108B" w:rsidRPr="00620A76" w:rsidRDefault="007420AE" w:rsidP="003E108B">
      <w:pPr>
        <w:contextualSpacing/>
        <w:jc w:val="both"/>
        <w:rPr>
          <w:lang w:val="hu-HU"/>
        </w:rPr>
      </w:pPr>
      <w:r w:rsidRPr="00B26A1C">
        <w:rPr>
          <w:b/>
          <w:lang w:val="hu-HU"/>
        </w:rPr>
        <w:t>12.</w:t>
      </w:r>
      <w:r w:rsidRPr="00B26A1C">
        <w:rPr>
          <w:lang w:val="hu-HU"/>
        </w:rPr>
        <w:t xml:space="preserve"> </w:t>
      </w:r>
      <w:r w:rsidR="003E108B" w:rsidRPr="00B26A1C">
        <w:rPr>
          <w:lang w:val="hu-HU"/>
        </w:rPr>
        <w:t xml:space="preserve">Az Általános Kommentár Tervezet 38. bekezdése </w:t>
      </w:r>
      <w:r w:rsidR="00E7530E" w:rsidRPr="00B26A1C">
        <w:rPr>
          <w:lang w:val="hu-HU"/>
        </w:rPr>
        <w:t>értelmében, a fogyatékossággal élő személyek oktatáshoz való joguk gyakorlását lehetővé tevő és segítő intézkedések, ideértve az akadálymentesített</w:t>
      </w:r>
      <w:r w:rsidR="00E7530E">
        <w:rPr>
          <w:lang w:val="hu-HU"/>
        </w:rPr>
        <w:t xml:space="preserve"> iskolákat, a „megerősítő intézkedések” alá tartoznak.</w:t>
      </w:r>
      <w:r w:rsidR="00762195">
        <w:rPr>
          <w:lang w:val="hu-HU"/>
        </w:rPr>
        <w:t xml:space="preserve"> Rá szeretnénk mutatni, hogy sem a CRPD, sem pedig az </w:t>
      </w:r>
      <w:r w:rsidR="00762195" w:rsidRPr="00762195">
        <w:rPr>
          <w:lang w:val="hu-HU"/>
        </w:rPr>
        <w:t>Általános Kommentár Tervezet</w:t>
      </w:r>
      <w:r w:rsidR="00762195">
        <w:rPr>
          <w:lang w:val="hu-HU"/>
        </w:rPr>
        <w:t xml:space="preserve"> nem határozza meg a megerősítő intézkedések jelentését.</w:t>
      </w:r>
      <w:r w:rsidR="00620A76">
        <w:rPr>
          <w:lang w:val="hu-HU"/>
        </w:rPr>
        <w:t xml:space="preserve"> </w:t>
      </w:r>
      <w:r w:rsidR="00762195" w:rsidRPr="00620A76">
        <w:rPr>
          <w:lang w:val="hu-HU"/>
        </w:rPr>
        <w:t xml:space="preserve">Marc </w:t>
      </w:r>
      <w:proofErr w:type="spellStart"/>
      <w:r w:rsidR="00762195" w:rsidRPr="00620A76">
        <w:rPr>
          <w:lang w:val="hu-HU"/>
        </w:rPr>
        <w:t>Bossuyt</w:t>
      </w:r>
      <w:proofErr w:type="spellEnd"/>
      <w:r w:rsidR="00762195" w:rsidRPr="00620A76">
        <w:rPr>
          <w:lang w:val="hu-HU"/>
        </w:rPr>
        <w:t xml:space="preserve"> Különleges Jelentéstevő, a megerősítő intézkedések koncepciójáról és gyakorlatáról szóló 2002. évi jelentésében</w:t>
      </w:r>
      <w:r w:rsidR="00620A76">
        <w:rPr>
          <w:lang w:val="hu-HU"/>
        </w:rPr>
        <w:t xml:space="preserve"> –</w:t>
      </w:r>
      <w:r w:rsidR="00762195" w:rsidRPr="00620A76">
        <w:rPr>
          <w:lang w:val="hu-HU"/>
        </w:rPr>
        <w:t xml:space="preserve"> melyet az Emberi Jogok Előmozdításával és Védelmével foglalkozó Albizottság felkérésére készített el</w:t>
      </w:r>
      <w:r w:rsidR="00620A76">
        <w:rPr>
          <w:lang w:val="hu-HU"/>
        </w:rPr>
        <w:t xml:space="preserve"> – ad egy definíciót</w:t>
      </w:r>
      <w:r w:rsidR="00762195" w:rsidRPr="00620A76">
        <w:rPr>
          <w:lang w:val="hu-HU"/>
        </w:rPr>
        <w:t xml:space="preserve"> a “megerősítő intézkedések</w:t>
      </w:r>
      <w:r w:rsidR="00620A76">
        <w:rPr>
          <w:lang w:val="hu-HU"/>
        </w:rPr>
        <w:t>re</w:t>
      </w:r>
      <w:r w:rsidR="00762195" w:rsidRPr="00620A76">
        <w:rPr>
          <w:lang w:val="hu-HU"/>
        </w:rPr>
        <w:t>”</w:t>
      </w:r>
      <w:r w:rsidR="00620A76">
        <w:rPr>
          <w:lang w:val="hu-HU"/>
        </w:rPr>
        <w:t xml:space="preserve">. Úgy határozza meg ezeket, mint </w:t>
      </w:r>
      <w:r w:rsidR="00D36712" w:rsidRPr="00620A76">
        <w:rPr>
          <w:lang w:val="hu-HU"/>
        </w:rPr>
        <w:t>“ideiglenes jellegű koherens intézkedéscsomag</w:t>
      </w:r>
      <w:r w:rsidR="00620A76">
        <w:rPr>
          <w:lang w:val="hu-HU"/>
        </w:rPr>
        <w:t>ot</w:t>
      </w:r>
      <w:r w:rsidR="00D36712" w:rsidRPr="00620A76">
        <w:rPr>
          <w:lang w:val="hu-HU"/>
        </w:rPr>
        <w:t>, amely egy adott célcsoport tagjai helyzetének javítását célozza társadalmi helyzetük egy</w:t>
      </w:r>
      <w:r w:rsidR="00620A76" w:rsidRPr="00620A76">
        <w:rPr>
          <w:lang w:val="hu-HU"/>
        </w:rPr>
        <w:t xml:space="preserve"> vagy </w:t>
      </w:r>
      <w:r w:rsidR="00D36712" w:rsidRPr="00620A76">
        <w:rPr>
          <w:lang w:val="hu-HU"/>
        </w:rPr>
        <w:t xml:space="preserve">több </w:t>
      </w:r>
      <w:r w:rsidR="00620A76" w:rsidRPr="00620A76">
        <w:rPr>
          <w:lang w:val="hu-HU"/>
        </w:rPr>
        <w:t>tekintetében,</w:t>
      </w:r>
      <w:r w:rsidR="00D36712" w:rsidRPr="00620A76">
        <w:rPr>
          <w:lang w:val="hu-HU"/>
        </w:rPr>
        <w:t xml:space="preserve"> a tényleges egyenlőség elérése érdekében.”</w:t>
      </w:r>
      <w:r w:rsidR="00620A76">
        <w:rPr>
          <w:rStyle w:val="Lbjegyzet-hivatkozs"/>
          <w:lang w:val="hu-HU"/>
        </w:rPr>
        <w:footnoteReference w:id="5"/>
      </w:r>
    </w:p>
    <w:p w:rsidR="00762195" w:rsidRDefault="00762195" w:rsidP="003E108B">
      <w:pPr>
        <w:contextualSpacing/>
        <w:jc w:val="both"/>
      </w:pPr>
    </w:p>
    <w:p w:rsidR="00F90B89" w:rsidRDefault="00620A76" w:rsidP="003E108B">
      <w:pPr>
        <w:contextualSpacing/>
        <w:jc w:val="both"/>
        <w:rPr>
          <w:lang w:val="hu-HU"/>
        </w:rPr>
      </w:pPr>
      <w:r>
        <w:rPr>
          <w:lang w:val="hu-HU"/>
        </w:rPr>
        <w:t>A MEOSZ fel szeretné hívni a figyelmet arra, hogy „a meg</w:t>
      </w:r>
      <w:r w:rsidR="00B26A1C">
        <w:rPr>
          <w:lang w:val="hu-HU"/>
        </w:rPr>
        <w:t>erősítő intézkedések koncepcióját</w:t>
      </w:r>
      <w:r>
        <w:rPr>
          <w:lang w:val="hu-HU"/>
        </w:rPr>
        <w:t xml:space="preserve"> a nemzetközi jog általában a ’</w:t>
      </w:r>
      <w:proofErr w:type="spellStart"/>
      <w:r w:rsidR="00B26A1C">
        <w:rPr>
          <w:lang w:val="hu-HU"/>
        </w:rPr>
        <w:t>speciális</w:t>
      </w:r>
      <w:proofErr w:type="spellEnd"/>
      <w:r>
        <w:rPr>
          <w:lang w:val="hu-HU"/>
        </w:rPr>
        <w:t xml:space="preserve"> intézkedések’</w:t>
      </w:r>
      <w:r w:rsidR="00B26A1C">
        <w:rPr>
          <w:rStyle w:val="Lbjegyzet-hivatkozs"/>
          <w:lang w:val="hu-HU"/>
        </w:rPr>
        <w:footnoteReference w:id="6"/>
      </w:r>
      <w:r>
        <w:rPr>
          <w:lang w:val="hu-HU"/>
        </w:rPr>
        <w:t xml:space="preserve"> </w:t>
      </w:r>
      <w:r w:rsidR="00B26A1C">
        <w:rPr>
          <w:lang w:val="hu-HU"/>
        </w:rPr>
        <w:t>terminológiával adja vissza.</w:t>
      </w:r>
      <w:r w:rsidR="00B26A1C">
        <w:rPr>
          <w:rStyle w:val="Lbjegyzet-hivatkozs"/>
          <w:lang w:val="hu-HU"/>
        </w:rPr>
        <w:footnoteReference w:id="7"/>
      </w:r>
      <w:r w:rsidR="00B26A1C">
        <w:rPr>
          <w:lang w:val="hu-HU"/>
        </w:rPr>
        <w:t xml:space="preserve"> A CRPD az 5(4) cikkben a „különleges intézkedések”</w:t>
      </w:r>
      <w:r w:rsidR="00B26A1C">
        <w:rPr>
          <w:rStyle w:val="Lbjegyzet-hivatkozs"/>
          <w:lang w:val="hu-HU"/>
        </w:rPr>
        <w:footnoteReference w:id="8"/>
      </w:r>
      <w:r w:rsidR="00B26A1C">
        <w:rPr>
          <w:lang w:val="hu-HU"/>
        </w:rPr>
        <w:t xml:space="preserve"> terminológiát használja, azonban a CRPD tárgyalása során más kifejezések használata is felvetődött, </w:t>
      </w:r>
      <w:proofErr w:type="gramStart"/>
      <w:r w:rsidR="00B26A1C">
        <w:rPr>
          <w:lang w:val="hu-HU"/>
        </w:rPr>
        <w:t>úgy</w:t>
      </w:r>
      <w:proofErr w:type="gramEnd"/>
      <w:r w:rsidR="00B26A1C">
        <w:rPr>
          <w:lang w:val="hu-HU"/>
        </w:rPr>
        <w:t xml:space="preserve"> mint a „</w:t>
      </w:r>
      <w:proofErr w:type="spellStart"/>
      <w:r w:rsidR="00B26A1C">
        <w:rPr>
          <w:lang w:val="hu-HU"/>
        </w:rPr>
        <w:t>special</w:t>
      </w:r>
      <w:proofErr w:type="spellEnd"/>
      <w:r w:rsidR="00B26A1C">
        <w:rPr>
          <w:lang w:val="hu-HU"/>
        </w:rPr>
        <w:t xml:space="preserve"> </w:t>
      </w:r>
      <w:proofErr w:type="spellStart"/>
      <w:r w:rsidR="00B26A1C">
        <w:rPr>
          <w:lang w:val="hu-HU"/>
        </w:rPr>
        <w:t>measures</w:t>
      </w:r>
      <w:proofErr w:type="spellEnd"/>
      <w:r w:rsidR="00B26A1C">
        <w:rPr>
          <w:lang w:val="hu-HU"/>
        </w:rPr>
        <w:t xml:space="preserve">”, </w:t>
      </w:r>
      <w:r w:rsidR="00B26A1C" w:rsidRPr="00B26A1C">
        <w:t xml:space="preserve">“positive measures”, “measures of </w:t>
      </w:r>
      <w:proofErr w:type="spellStart"/>
      <w:r w:rsidR="00B26A1C" w:rsidRPr="00F90B89">
        <w:rPr>
          <w:lang w:val="hu-HU"/>
        </w:rPr>
        <w:t>affirmative</w:t>
      </w:r>
      <w:proofErr w:type="spellEnd"/>
      <w:r w:rsidR="00B26A1C" w:rsidRPr="00F90B89">
        <w:rPr>
          <w:lang w:val="hu-HU"/>
        </w:rPr>
        <w:t xml:space="preserve"> </w:t>
      </w:r>
      <w:proofErr w:type="spellStart"/>
      <w:r w:rsidR="00B26A1C" w:rsidRPr="00F90B89">
        <w:rPr>
          <w:lang w:val="hu-HU"/>
        </w:rPr>
        <w:t>action</w:t>
      </w:r>
      <w:proofErr w:type="spellEnd"/>
      <w:r w:rsidR="00B26A1C" w:rsidRPr="00F90B89">
        <w:rPr>
          <w:lang w:val="hu-HU"/>
        </w:rPr>
        <w:t>”, “</w:t>
      </w:r>
      <w:proofErr w:type="spellStart"/>
      <w:r w:rsidR="00B26A1C" w:rsidRPr="00F90B89">
        <w:rPr>
          <w:lang w:val="hu-HU"/>
        </w:rPr>
        <w:t>positive</w:t>
      </w:r>
      <w:proofErr w:type="spellEnd"/>
      <w:r w:rsidR="00B26A1C" w:rsidRPr="00F90B89">
        <w:rPr>
          <w:lang w:val="hu-HU"/>
        </w:rPr>
        <w:t xml:space="preserve"> </w:t>
      </w:r>
      <w:proofErr w:type="spellStart"/>
      <w:r w:rsidR="00B26A1C" w:rsidRPr="00F90B89">
        <w:rPr>
          <w:lang w:val="hu-HU"/>
        </w:rPr>
        <w:t>discrimination</w:t>
      </w:r>
      <w:proofErr w:type="spellEnd"/>
      <w:r w:rsidR="00B26A1C" w:rsidRPr="00F90B89">
        <w:rPr>
          <w:lang w:val="hu-HU"/>
        </w:rPr>
        <w:t>” és a “</w:t>
      </w:r>
      <w:proofErr w:type="spellStart"/>
      <w:r w:rsidR="00B26A1C" w:rsidRPr="00F90B89">
        <w:rPr>
          <w:lang w:val="hu-HU"/>
        </w:rPr>
        <w:t>positive</w:t>
      </w:r>
      <w:proofErr w:type="spellEnd"/>
      <w:r w:rsidR="00B26A1C" w:rsidRPr="00F90B89">
        <w:rPr>
          <w:lang w:val="hu-HU"/>
        </w:rPr>
        <w:t xml:space="preserve"> </w:t>
      </w:r>
      <w:proofErr w:type="spellStart"/>
      <w:r w:rsidR="00B26A1C" w:rsidRPr="00F90B89">
        <w:rPr>
          <w:lang w:val="hu-HU"/>
        </w:rPr>
        <w:t>action</w:t>
      </w:r>
      <w:proofErr w:type="spellEnd"/>
      <w:r w:rsidR="00B26A1C" w:rsidRPr="00F90B89">
        <w:rPr>
          <w:lang w:val="hu-HU"/>
        </w:rPr>
        <w:t>”.</w:t>
      </w:r>
      <w:r w:rsidR="00110F6E">
        <w:rPr>
          <w:lang w:val="hu-HU"/>
        </w:rPr>
        <w:t xml:space="preserve"> B</w:t>
      </w:r>
      <w:r w:rsidR="00F90B89" w:rsidRPr="00F90B89">
        <w:rPr>
          <w:lang w:val="hu-HU"/>
        </w:rPr>
        <w:t>ármelyik kifejezést használ</w:t>
      </w:r>
      <w:r w:rsidR="00F90B89">
        <w:rPr>
          <w:lang w:val="hu-HU"/>
        </w:rPr>
        <w:t>juk is</w:t>
      </w:r>
      <w:r w:rsidR="00110F6E">
        <w:rPr>
          <w:lang w:val="hu-HU"/>
        </w:rPr>
        <w:t xml:space="preserve"> ezek közül</w:t>
      </w:r>
      <w:r w:rsidR="00F90B89">
        <w:rPr>
          <w:lang w:val="hu-HU"/>
        </w:rPr>
        <w:t>, a</w:t>
      </w:r>
      <w:r w:rsidR="00F90B89" w:rsidRPr="00F90B89">
        <w:rPr>
          <w:lang w:val="hu-HU"/>
        </w:rPr>
        <w:t xml:space="preserve"> megerősítő intézkedés</w:t>
      </w:r>
      <w:r w:rsidR="00F90B89">
        <w:rPr>
          <w:lang w:val="hu-HU"/>
        </w:rPr>
        <w:t xml:space="preserve">eknek nincs </w:t>
      </w:r>
      <w:r w:rsidR="00F90B89" w:rsidRPr="00F90B89">
        <w:rPr>
          <w:lang w:val="hu-HU"/>
        </w:rPr>
        <w:t>kötelező jelleg</w:t>
      </w:r>
      <w:r w:rsidR="00F90B89">
        <w:rPr>
          <w:lang w:val="hu-HU"/>
        </w:rPr>
        <w:t>ük.</w:t>
      </w:r>
      <w:r w:rsidR="00F90B89" w:rsidRPr="00F90B89">
        <w:rPr>
          <w:vertAlign w:val="superscript"/>
        </w:rPr>
        <w:footnoteReference w:id="9"/>
      </w:r>
    </w:p>
    <w:p w:rsidR="00F90B89" w:rsidRDefault="00F90B89" w:rsidP="003E108B">
      <w:pPr>
        <w:contextualSpacing/>
        <w:jc w:val="both"/>
        <w:rPr>
          <w:lang w:val="hu-HU"/>
        </w:rPr>
      </w:pPr>
    </w:p>
    <w:p w:rsidR="00B26A1C" w:rsidRDefault="00B26A1C" w:rsidP="003E108B">
      <w:pPr>
        <w:contextualSpacing/>
        <w:jc w:val="both"/>
        <w:rPr>
          <w:lang w:val="hu-HU"/>
        </w:rPr>
      </w:pPr>
      <w:r>
        <w:rPr>
          <w:lang w:val="hu-HU"/>
        </w:rPr>
        <w:t xml:space="preserve">A fenti gondolatok alapján a MEOSZ álláspontja az, hogy a </w:t>
      </w:r>
      <w:r w:rsidR="00D34FC1">
        <w:rPr>
          <w:lang w:val="hu-HU"/>
        </w:rPr>
        <w:t xml:space="preserve">megerősítő intézkedések / különleges intézkedések megtétele szükséges, de nem elégséges lépés annak érdekében, hogy a részes államok teljesítsék az oktatás alapvető </w:t>
      </w:r>
      <w:r w:rsidR="00D34FC1" w:rsidRPr="00D34FC1">
        <w:rPr>
          <w:lang w:val="hu-HU"/>
        </w:rPr>
        <w:t>jellemzőire –</w:t>
      </w:r>
      <w:r w:rsidR="00D34FC1">
        <w:rPr>
          <w:lang w:val="hu-HU"/>
        </w:rPr>
        <w:t xml:space="preserve"> </w:t>
      </w:r>
      <w:r w:rsidR="00D34FC1" w:rsidRPr="00D34FC1">
        <w:rPr>
          <w:bCs/>
          <w:lang w:val="hu-HU"/>
        </w:rPr>
        <w:t xml:space="preserve">az elérhetőségre, a hozzáférhetőségre, az elfogadhatóságra, az adaptálhatóságra és a minőségre – </w:t>
      </w:r>
      <w:r w:rsidR="00D34FC1" w:rsidRPr="00D34FC1">
        <w:rPr>
          <w:lang w:val="hu-HU"/>
        </w:rPr>
        <w:t>vonatkozó kötelezettségeiket.</w:t>
      </w:r>
      <w:r w:rsidR="00D34FC1">
        <w:rPr>
          <w:lang w:val="hu-HU"/>
        </w:rPr>
        <w:t xml:space="preserve"> Az államok kötelezettségei jóval meghaladják azt, hogy megerősítő intézkedések</w:t>
      </w:r>
      <w:r w:rsidR="00F90B89">
        <w:rPr>
          <w:lang w:val="hu-HU"/>
        </w:rPr>
        <w:t>et tegyenek és az iskolák akadálymentességének biztosítása nem esik a megerősítő intézkedések fogalma alá.</w:t>
      </w:r>
    </w:p>
    <w:p w:rsidR="00B26A1C" w:rsidRDefault="00B26A1C" w:rsidP="003E108B">
      <w:pPr>
        <w:contextualSpacing/>
        <w:jc w:val="both"/>
        <w:rPr>
          <w:lang w:val="hu-HU"/>
        </w:rPr>
      </w:pPr>
    </w:p>
    <w:p w:rsidR="008B3385" w:rsidRPr="008B3385" w:rsidRDefault="008B3385" w:rsidP="00942F67">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Cs/>
          <w:i/>
          <w:lang w:val="hu-HU"/>
        </w:rPr>
      </w:pPr>
      <w:r w:rsidRPr="008B3385">
        <w:rPr>
          <w:bCs/>
          <w:i/>
          <w:lang w:val="hu-HU"/>
        </w:rPr>
        <w:t>Javasolt módosított szöveg a 38. bekezdéshez:</w:t>
      </w:r>
    </w:p>
    <w:p w:rsidR="008B3385" w:rsidRDefault="008B3385" w:rsidP="00942F67">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p>
    <w:p w:rsidR="00942F67" w:rsidRPr="00942F67" w:rsidRDefault="00942F67" w:rsidP="00942F67">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r>
        <w:rPr>
          <w:lang w:val="hu-HU"/>
        </w:rPr>
        <w:t xml:space="preserve">(…) </w:t>
      </w:r>
      <w:r w:rsidR="008B3385" w:rsidRPr="008B3385">
        <w:rPr>
          <w:lang w:val="hu-HU"/>
        </w:rPr>
        <w:t xml:space="preserve">A </w:t>
      </w:r>
      <w:r w:rsidR="008B3385" w:rsidRPr="008B3385">
        <w:rPr>
          <w:i/>
          <w:iCs/>
          <w:lang w:val="hu-HU"/>
        </w:rPr>
        <w:t>teljesítés</w:t>
      </w:r>
      <w:r w:rsidR="008B3385" w:rsidRPr="008B3385">
        <w:rPr>
          <w:lang w:val="hu-HU"/>
        </w:rPr>
        <w:t xml:space="preserve"> kötelezettsége azt kívánja meg a részes államoktól, hogy </w:t>
      </w:r>
      <w:r w:rsidR="008B3385" w:rsidRPr="008B3385">
        <w:rPr>
          <w:strike/>
          <w:lang w:val="hu-HU"/>
        </w:rPr>
        <w:t>megerősítő intézkedéseket</w:t>
      </w:r>
      <w:r w:rsidR="008B3385" w:rsidRPr="008B3385">
        <w:rPr>
          <w:lang w:val="hu-HU"/>
        </w:rPr>
        <w:t xml:space="preserve"> </w:t>
      </w:r>
      <w:r w:rsidR="008B3385">
        <w:rPr>
          <w:lang w:val="hu-HU"/>
        </w:rPr>
        <w:t xml:space="preserve">tegyenek </w:t>
      </w:r>
      <w:r w:rsidR="008B3385" w:rsidRPr="008B3385">
        <w:rPr>
          <w:b/>
          <w:lang w:val="hu-HU"/>
        </w:rPr>
        <w:t>meg minden megfelelő intézkedést</w:t>
      </w:r>
      <w:r w:rsidR="008B3385" w:rsidRPr="008B3385">
        <w:rPr>
          <w:lang w:val="hu-HU"/>
        </w:rPr>
        <w:t xml:space="preserve">, amelyek lehetővé teszik és segítik a fogyatékossággal élő személyeket oktatáshoz való joguk gyakorlásában, például az </w:t>
      </w:r>
      <w:r w:rsidR="008B3385" w:rsidRPr="008B3385">
        <w:rPr>
          <w:lang w:val="hu-HU"/>
        </w:rPr>
        <w:lastRenderedPageBreak/>
        <w:t>iskolák akadálymentesítettek, és az oktatási rendszerek megfelelően adaptáltak legyenek a szükséges forrásokhoz és a nyújto</w:t>
      </w:r>
      <w:r>
        <w:rPr>
          <w:lang w:val="hu-HU"/>
        </w:rPr>
        <w:t xml:space="preserve">tt szolgáltatásokhoz. </w:t>
      </w:r>
      <w:r w:rsidRPr="00942F67">
        <w:rPr>
          <w:b/>
          <w:lang w:val="hu-HU"/>
        </w:rPr>
        <w:t xml:space="preserve">A fogyatékossággal élő személyek oktatás területén történő tényleges egyenlőségének előmozdításához és eléréséhez szükséges különleges intézkedések üdvözlendőek és a CRPD </w:t>
      </w:r>
      <w:proofErr w:type="gramStart"/>
      <w:r w:rsidRPr="00942F67">
        <w:rPr>
          <w:b/>
          <w:lang w:val="hu-HU"/>
        </w:rPr>
        <w:t>5(</w:t>
      </w:r>
      <w:proofErr w:type="gramEnd"/>
      <w:r w:rsidRPr="00942F67">
        <w:rPr>
          <w:b/>
          <w:lang w:val="hu-HU"/>
        </w:rPr>
        <w:t>4) cikkével összhangban nem tekintendők hátrányos megkülönböztetésnek.</w:t>
      </w:r>
      <w:r w:rsidRPr="00942F67">
        <w:rPr>
          <w:lang w:val="hu-HU"/>
        </w:rPr>
        <w:t xml:space="preserve"> </w:t>
      </w:r>
    </w:p>
    <w:p w:rsidR="00942F67" w:rsidRDefault="00942F67" w:rsidP="008B3385">
      <w:pPr>
        <w:contextualSpacing/>
        <w:jc w:val="both"/>
      </w:pPr>
    </w:p>
    <w:p w:rsidR="00942F67" w:rsidRPr="00942F67" w:rsidRDefault="007420AE" w:rsidP="00942F67">
      <w:pPr>
        <w:jc w:val="both"/>
        <w:rPr>
          <w:bCs/>
          <w:lang w:val="hu-HU"/>
        </w:rPr>
      </w:pPr>
      <w:r w:rsidRPr="0089353F">
        <w:rPr>
          <w:b/>
          <w:lang w:val="hu-HU"/>
        </w:rPr>
        <w:t>13.</w:t>
      </w:r>
      <w:r w:rsidRPr="0089353F">
        <w:rPr>
          <w:lang w:val="hu-HU"/>
        </w:rPr>
        <w:t xml:space="preserve"> </w:t>
      </w:r>
      <w:r w:rsidR="00942F67" w:rsidRPr="0089353F">
        <w:rPr>
          <w:lang w:val="hu-HU"/>
        </w:rPr>
        <w:t>Az Általános Kommentár Tervezet 50. bekezdése rávilágít az inkluzív oktatáshoz való jog és (1) a 16</w:t>
      </w:r>
      <w:r w:rsidR="00942F67" w:rsidRPr="00942F67">
        <w:rPr>
          <w:lang w:val="hu-HU"/>
        </w:rPr>
        <w:t xml:space="preserve"> cikk szerinti </w:t>
      </w:r>
      <w:r w:rsidR="00942F67">
        <w:rPr>
          <w:lang w:val="hu-HU"/>
        </w:rPr>
        <w:t>„</w:t>
      </w:r>
      <w:r w:rsidR="00942F67" w:rsidRPr="00942F67">
        <w:rPr>
          <w:lang w:val="hu-HU"/>
        </w:rPr>
        <w:t>Mentesség a kizsákmányolástól, erőszaktól és visszaélésektől</w:t>
      </w:r>
      <w:r w:rsidR="00942F67">
        <w:rPr>
          <w:lang w:val="hu-HU"/>
        </w:rPr>
        <w:t>”</w:t>
      </w:r>
      <w:r w:rsidR="00942F67" w:rsidRPr="00942F67">
        <w:rPr>
          <w:lang w:val="hu-HU"/>
        </w:rPr>
        <w:t xml:space="preserve">, valamint (2) a 15. cikk szerinti </w:t>
      </w:r>
      <w:r w:rsidR="00942F67">
        <w:rPr>
          <w:lang w:val="hu-HU"/>
        </w:rPr>
        <w:t>„</w:t>
      </w:r>
      <w:proofErr w:type="gramStart"/>
      <w:r w:rsidR="00942F67" w:rsidRPr="00942F67">
        <w:rPr>
          <w:bCs/>
          <w:lang w:val="hu-HU"/>
        </w:rPr>
        <w:t>A</w:t>
      </w:r>
      <w:proofErr w:type="gramEnd"/>
      <w:r w:rsidR="00942F67" w:rsidRPr="00942F67">
        <w:rPr>
          <w:bCs/>
          <w:lang w:val="hu-HU"/>
        </w:rPr>
        <w:t xml:space="preserve"> kínzás és más kegyetlen, embertelen vagy megalázó bánásmód vagy büntetés tilalma</w:t>
      </w:r>
      <w:r w:rsidR="00942F67">
        <w:rPr>
          <w:bCs/>
          <w:lang w:val="hu-HU"/>
        </w:rPr>
        <w:t xml:space="preserve">” közötti kapcsolatra. </w:t>
      </w:r>
      <w:r w:rsidR="00510483">
        <w:rPr>
          <w:bCs/>
          <w:lang w:val="hu-HU"/>
        </w:rPr>
        <w:t>Míg a 16. cikk explicite megemlítésre kerül, addig a 15. cikk nem. A MEOSZ hangsúlyozza annak fontosságát, hogy a CRPD 15. cikke explicite kerüljön megemlítésre.</w:t>
      </w:r>
    </w:p>
    <w:p w:rsidR="00942F67" w:rsidRDefault="00942F67" w:rsidP="00942F67">
      <w:pPr>
        <w:jc w:val="both"/>
        <w:rPr>
          <w:lang w:val="en-GB"/>
        </w:rPr>
      </w:pPr>
    </w:p>
    <w:p w:rsidR="00510483" w:rsidRPr="00510483" w:rsidRDefault="00510483" w:rsidP="005104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
          <w:lang w:val="hu-HU"/>
        </w:rPr>
      </w:pPr>
      <w:r w:rsidRPr="00510483">
        <w:rPr>
          <w:bCs/>
          <w:i/>
          <w:lang w:val="hu-HU"/>
        </w:rPr>
        <w:t xml:space="preserve">Javasolt módosított szöveg </w:t>
      </w:r>
      <w:proofErr w:type="gramStart"/>
      <w:r w:rsidRPr="00510483">
        <w:rPr>
          <w:bCs/>
          <w:i/>
          <w:lang w:val="hu-HU"/>
        </w:rPr>
        <w:t>a</w:t>
      </w:r>
      <w:proofErr w:type="gramEnd"/>
      <w:r w:rsidRPr="00510483">
        <w:rPr>
          <w:bCs/>
          <w:i/>
          <w:lang w:val="hu-HU"/>
        </w:rPr>
        <w:t xml:space="preserve"> </w:t>
      </w:r>
      <w:r>
        <w:rPr>
          <w:bCs/>
          <w:i/>
          <w:lang w:val="hu-HU"/>
        </w:rPr>
        <w:t>50</w:t>
      </w:r>
      <w:r w:rsidRPr="00510483">
        <w:rPr>
          <w:bCs/>
          <w:i/>
          <w:lang w:val="hu-HU"/>
        </w:rPr>
        <w:t>. bekezdéshez:</w:t>
      </w:r>
    </w:p>
    <w:p w:rsidR="007420AE" w:rsidRPr="00EB0F70" w:rsidRDefault="007420AE" w:rsidP="00510483">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942F67" w:rsidRPr="00510483" w:rsidRDefault="00510483" w:rsidP="005104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hu-HU"/>
        </w:rPr>
      </w:pPr>
      <w:r>
        <w:rPr>
          <w:lang w:val="hu-HU"/>
        </w:rPr>
        <w:t xml:space="preserve">(…) </w:t>
      </w:r>
      <w:r w:rsidRPr="00510483">
        <w:rPr>
          <w:lang w:val="hu-HU"/>
        </w:rPr>
        <w:t xml:space="preserve">a részes államok meg kell, hogy tiltsák a testi fenyítés, a </w:t>
      </w:r>
      <w:r>
        <w:rPr>
          <w:lang w:val="hu-HU"/>
        </w:rPr>
        <w:t>kegyetlen</w:t>
      </w:r>
      <w:r w:rsidRPr="00510483">
        <w:rPr>
          <w:lang w:val="hu-HU"/>
        </w:rPr>
        <w:t xml:space="preserve">, embertelen és megalázó bánásmód minden formáját minden környezetben, ideértve az iskolákat, és hathatós szankciókat </w:t>
      </w:r>
      <w:r>
        <w:rPr>
          <w:lang w:val="hu-HU"/>
        </w:rPr>
        <w:t xml:space="preserve">kell kilátásba </w:t>
      </w:r>
      <w:r w:rsidRPr="00510483">
        <w:rPr>
          <w:lang w:val="hu-HU"/>
        </w:rPr>
        <w:t>helyez</w:t>
      </w:r>
      <w:r>
        <w:rPr>
          <w:lang w:val="hu-HU"/>
        </w:rPr>
        <w:t xml:space="preserve">niük az elkövetőkkel szemben. </w:t>
      </w:r>
      <w:r w:rsidRPr="00510483">
        <w:rPr>
          <w:b/>
          <w:lang w:val="hu-HU"/>
        </w:rPr>
        <w:t>Ez összhangban van a 15. cikkel, amely szerint mindenkivel szemben tilos a kínzás és más kegyetlen, embertelen vagy megalázó bánásmód vagy büntetés alkalmazása. A Bizottság</w:t>
      </w:r>
      <w:r>
        <w:rPr>
          <w:lang w:val="hu-HU"/>
        </w:rPr>
        <w:t xml:space="preserve"> </w:t>
      </w:r>
      <w:proofErr w:type="spellStart"/>
      <w:r w:rsidRPr="00510483">
        <w:rPr>
          <w:strike/>
          <w:lang w:val="hu-HU"/>
        </w:rPr>
        <w:t>B</w:t>
      </w:r>
      <w:r w:rsidRPr="00510483">
        <w:rPr>
          <w:b/>
          <w:lang w:val="hu-HU"/>
        </w:rPr>
        <w:t>b</w:t>
      </w:r>
      <w:r>
        <w:t>átorítja</w:t>
      </w:r>
      <w:proofErr w:type="spellEnd"/>
      <w:r>
        <w:t xml:space="preserve"> (…).</w:t>
      </w:r>
    </w:p>
    <w:p w:rsidR="00942F67" w:rsidRPr="00510483" w:rsidRDefault="00942F67" w:rsidP="00942F67">
      <w:pPr>
        <w:jc w:val="both"/>
        <w:rPr>
          <w:lang w:val="hu-HU"/>
        </w:rPr>
      </w:pPr>
    </w:p>
    <w:p w:rsidR="0089353F" w:rsidRPr="00DC66B3" w:rsidRDefault="007420AE" w:rsidP="007420AE">
      <w:pPr>
        <w:jc w:val="both"/>
      </w:pPr>
      <w:r w:rsidRPr="00DC66B3">
        <w:rPr>
          <w:b/>
          <w:bCs/>
          <w:lang w:val="hu-HU"/>
        </w:rPr>
        <w:t>14.</w:t>
      </w:r>
      <w:r w:rsidRPr="00DC66B3">
        <w:rPr>
          <w:bCs/>
          <w:lang w:val="hu-HU"/>
        </w:rPr>
        <w:t xml:space="preserve"> </w:t>
      </w:r>
      <w:r w:rsidR="0089353F" w:rsidRPr="00DC66B3">
        <w:rPr>
          <w:lang w:val="hu-HU"/>
        </w:rPr>
        <w:t>Az Általános Kommentár Tervezet 4. fejezete az inkluzív oktatáshoz való jog és a CRPD egyéb rendelkezéseinek kapcsolatával foglalkozik. Mindemellett az Egyezmény 22. cikke (A magánélet tiszteletben tartása) és 24. cikke közötti kapcsolatot nem említi az Általános Kommentár Tervezet. Egy friss magyar kutatás rámutatott arra, hogy a speciális iskolákban tanuló fogyatékossággal</w:t>
      </w:r>
      <w:r w:rsidR="0089353F" w:rsidRPr="0089353F">
        <w:rPr>
          <w:lang w:val="hu-HU"/>
        </w:rPr>
        <w:t xml:space="preserve"> élő gyermekeknek a folyamatos felnőtt felügyelet miatt nincsen elég idejük az intim beszélgetésekre. </w:t>
      </w:r>
      <w:r w:rsidR="00DC66B3">
        <w:rPr>
          <w:lang w:val="hu-HU"/>
        </w:rPr>
        <w:t>A</w:t>
      </w:r>
      <w:r w:rsidR="0089353F" w:rsidRPr="00DC66B3">
        <w:rPr>
          <w:lang w:val="hu-HU"/>
        </w:rPr>
        <w:t xml:space="preserve"> speciális iskolában a gy</w:t>
      </w:r>
      <w:r w:rsidR="00DC66B3">
        <w:rPr>
          <w:lang w:val="hu-HU"/>
        </w:rPr>
        <w:t>erekek súlyosabb mozgásállapota</w:t>
      </w:r>
      <w:r w:rsidR="0089353F" w:rsidRPr="00DC66B3">
        <w:rPr>
          <w:lang w:val="hu-HU"/>
        </w:rPr>
        <w:t xml:space="preserve"> következtében</w:t>
      </w:r>
      <w:r w:rsidR="00DC66B3">
        <w:rPr>
          <w:lang w:val="hu-HU"/>
        </w:rPr>
        <w:t xml:space="preserve"> </w:t>
      </w:r>
      <w:r w:rsidR="0089353F" w:rsidRPr="00DC66B3">
        <w:rPr>
          <w:lang w:val="hu-HU"/>
        </w:rPr>
        <w:t>a nevel</w:t>
      </w:r>
      <w:r w:rsidR="00DC66B3">
        <w:rPr>
          <w:lang w:val="hu-HU"/>
        </w:rPr>
        <w:t>ő</w:t>
      </w:r>
      <w:r w:rsidR="0089353F" w:rsidRPr="00DC66B3">
        <w:rPr>
          <w:lang w:val="hu-HU"/>
        </w:rPr>
        <w:t>k végig a gyermekek mellett vannak</w:t>
      </w:r>
      <w:r w:rsidR="00DC66B3">
        <w:rPr>
          <w:lang w:val="hu-HU"/>
        </w:rPr>
        <w:t xml:space="preserve">, ezért </w:t>
      </w:r>
      <w:r w:rsidR="0089353F" w:rsidRPr="00DC66B3">
        <w:rPr>
          <w:lang w:val="hu-HU"/>
        </w:rPr>
        <w:t>kevés</w:t>
      </w:r>
      <w:r w:rsidR="00DC66B3">
        <w:rPr>
          <w:lang w:val="hu-HU"/>
        </w:rPr>
        <w:t xml:space="preserve"> idő jut számukra az egymás közötti, kontroll nélküli interakcióra, </w:t>
      </w:r>
      <w:r w:rsidR="0089353F" w:rsidRPr="0089353F">
        <w:rPr>
          <w:lang w:val="hu-HU"/>
        </w:rPr>
        <w:t xml:space="preserve">például a </w:t>
      </w:r>
      <w:r w:rsidR="00DC66B3" w:rsidRPr="0089353F">
        <w:rPr>
          <w:lang w:val="hu-HU"/>
        </w:rPr>
        <w:t>serdülőkorban</w:t>
      </w:r>
      <w:r w:rsidR="0089353F" w:rsidRPr="0089353F">
        <w:rPr>
          <w:lang w:val="hu-HU"/>
        </w:rPr>
        <w:t xml:space="preserve"> oly </w:t>
      </w:r>
      <w:r w:rsidR="00DC66B3" w:rsidRPr="0089353F">
        <w:rPr>
          <w:lang w:val="hu-HU"/>
        </w:rPr>
        <w:t>jellemző</w:t>
      </w:r>
      <w:r w:rsidR="0089353F" w:rsidRPr="0089353F">
        <w:rPr>
          <w:lang w:val="hu-HU"/>
        </w:rPr>
        <w:t xml:space="preserve"> „szerelmi titkok” megosztására</w:t>
      </w:r>
      <w:r w:rsidR="00DC66B3">
        <w:rPr>
          <w:lang w:val="hu-HU"/>
        </w:rPr>
        <w:t>.</w:t>
      </w:r>
      <w:r w:rsidR="00DC66B3">
        <w:rPr>
          <w:rStyle w:val="Lbjegyzet-hivatkozs"/>
          <w:lang w:val="hu-HU"/>
        </w:rPr>
        <w:footnoteReference w:id="10"/>
      </w:r>
      <w:r w:rsidR="00DC66B3">
        <w:rPr>
          <w:lang w:val="hu-HU"/>
        </w:rPr>
        <w:t xml:space="preserve"> A </w:t>
      </w:r>
      <w:r w:rsidR="0089353F" w:rsidRPr="0089353F">
        <w:rPr>
          <w:lang w:val="hu-HU"/>
        </w:rPr>
        <w:t xml:space="preserve">MEOSZ üdvözölné, ha az Általános </w:t>
      </w:r>
      <w:r w:rsidR="00DC66B3">
        <w:rPr>
          <w:lang w:val="hu-HU"/>
        </w:rPr>
        <w:t xml:space="preserve">Kommentár </w:t>
      </w:r>
      <w:r w:rsidR="0089353F" w:rsidRPr="0089353F">
        <w:rPr>
          <w:lang w:val="hu-HU"/>
        </w:rPr>
        <w:t>is foglalkoz</w:t>
      </w:r>
      <w:r w:rsidR="00DC66B3">
        <w:rPr>
          <w:lang w:val="hu-HU"/>
        </w:rPr>
        <w:t xml:space="preserve">na </w:t>
      </w:r>
      <w:r w:rsidR="0089353F" w:rsidRPr="0089353F">
        <w:rPr>
          <w:lang w:val="hu-HU"/>
        </w:rPr>
        <w:t xml:space="preserve">ezzel a </w:t>
      </w:r>
      <w:r w:rsidR="00DC66B3">
        <w:rPr>
          <w:lang w:val="hu-HU"/>
        </w:rPr>
        <w:t>t</w:t>
      </w:r>
      <w:r w:rsidR="0089353F" w:rsidRPr="0089353F">
        <w:rPr>
          <w:lang w:val="hu-HU"/>
        </w:rPr>
        <w:t>émá</w:t>
      </w:r>
      <w:r w:rsidR="00DC66B3">
        <w:rPr>
          <w:lang w:val="hu-HU"/>
        </w:rPr>
        <w:t>val.</w:t>
      </w:r>
    </w:p>
    <w:p w:rsidR="0089353F" w:rsidRDefault="0089353F" w:rsidP="007420AE">
      <w:pPr>
        <w:jc w:val="both"/>
      </w:pPr>
    </w:p>
    <w:p w:rsidR="00DC66B3" w:rsidRPr="00DC66B3" w:rsidRDefault="00DC66B3" w:rsidP="00417E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
          <w:lang w:val="hu-HU"/>
        </w:rPr>
      </w:pPr>
      <w:r w:rsidRPr="00DC66B3">
        <w:rPr>
          <w:bCs/>
          <w:i/>
          <w:lang w:val="hu-HU"/>
        </w:rPr>
        <w:t>Javasolt kiegészített szöveg a</w:t>
      </w:r>
      <w:r>
        <w:rPr>
          <w:bCs/>
          <w:i/>
          <w:lang w:val="hu-HU"/>
        </w:rPr>
        <w:t xml:space="preserve"> 4. feje</w:t>
      </w:r>
      <w:r w:rsidRPr="00DC66B3">
        <w:rPr>
          <w:bCs/>
          <w:i/>
          <w:lang w:val="hu-HU"/>
        </w:rPr>
        <w:t>z</w:t>
      </w:r>
      <w:r>
        <w:rPr>
          <w:bCs/>
          <w:i/>
          <w:lang w:val="hu-HU"/>
        </w:rPr>
        <w:t>ethez</w:t>
      </w:r>
      <w:r w:rsidRPr="00DC66B3">
        <w:rPr>
          <w:bCs/>
          <w:i/>
          <w:lang w:val="hu-HU"/>
        </w:rPr>
        <w:t>:</w:t>
      </w:r>
    </w:p>
    <w:p w:rsidR="00F3017E" w:rsidRDefault="00F3017E" w:rsidP="00417E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p>
    <w:p w:rsidR="007420AE" w:rsidRPr="00417E8B" w:rsidRDefault="00DC66B3" w:rsidP="00417E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lang w:val="hu-HU"/>
        </w:rPr>
      </w:pPr>
      <w:r w:rsidRPr="00417E8B">
        <w:rPr>
          <w:b/>
          <w:lang w:val="hu-HU"/>
        </w:rPr>
        <w:t xml:space="preserve">A 22. cikk leszögezi többek között, hogy </w:t>
      </w:r>
      <w:r w:rsidR="00A52EB4" w:rsidRPr="00417E8B">
        <w:rPr>
          <w:b/>
          <w:lang w:val="hu-HU"/>
        </w:rPr>
        <w:t>tilos a</w:t>
      </w:r>
      <w:r w:rsidRPr="00417E8B">
        <w:rPr>
          <w:b/>
          <w:lang w:val="hu-HU"/>
        </w:rPr>
        <w:t xml:space="preserve"> fogyatékossággal élő személy magánéletének, családjának, levelezésének vagy másfajta kommunikációjának önkényes vagy jogellene</w:t>
      </w:r>
      <w:r w:rsidR="00A52EB4" w:rsidRPr="00417E8B">
        <w:rPr>
          <w:b/>
          <w:lang w:val="hu-HU"/>
        </w:rPr>
        <w:t>s zavarása</w:t>
      </w:r>
      <w:r w:rsidRPr="00417E8B">
        <w:rPr>
          <w:b/>
          <w:lang w:val="hu-HU"/>
        </w:rPr>
        <w:t xml:space="preserve">. A </w:t>
      </w:r>
      <w:r w:rsidR="00A52EB4" w:rsidRPr="00417E8B">
        <w:rPr>
          <w:b/>
          <w:lang w:val="hu-HU"/>
        </w:rPr>
        <w:t>Bizottság hangsúlyozza, hogy a tanárok és oktatók fogyatékossággal élő tanulók felé tanúsított attitűdjének tiszteletben kell tartania az érintett személy magánélethez való jogát. Ez azt jelenti például, hogy a tanárok és oktatók által nyújtott támogatásnak egyrészről mindig arányosnak és személyre szabottnak kell lennie, másrészről viszont nem jelentheti a tanulók állandó</w:t>
      </w:r>
      <w:r w:rsidR="00417E8B" w:rsidRPr="00417E8B">
        <w:rPr>
          <w:b/>
          <w:lang w:val="hu-HU"/>
        </w:rPr>
        <w:t>, szünet nélküli</w:t>
      </w:r>
      <w:r w:rsidR="00A52EB4" w:rsidRPr="00417E8B">
        <w:rPr>
          <w:b/>
          <w:lang w:val="hu-HU"/>
        </w:rPr>
        <w:t xml:space="preserve"> felügyeletét.</w:t>
      </w:r>
    </w:p>
    <w:p w:rsidR="00A52EB4" w:rsidRDefault="00A52EB4" w:rsidP="00A52EB4">
      <w:pPr>
        <w:jc w:val="both"/>
        <w:rPr>
          <w:lang w:val="hu-HU"/>
        </w:rPr>
      </w:pPr>
    </w:p>
    <w:p w:rsidR="004C105E" w:rsidRDefault="007420AE" w:rsidP="004C105E">
      <w:pPr>
        <w:jc w:val="both"/>
        <w:rPr>
          <w:bCs/>
        </w:rPr>
      </w:pPr>
      <w:r w:rsidRPr="0021387D">
        <w:rPr>
          <w:b/>
          <w:lang w:val="hu-HU"/>
        </w:rPr>
        <w:t>15.</w:t>
      </w:r>
      <w:r w:rsidRPr="0021387D">
        <w:rPr>
          <w:lang w:val="hu-HU"/>
        </w:rPr>
        <w:t xml:space="preserve"> </w:t>
      </w:r>
      <w:r w:rsidR="004C105E" w:rsidRPr="0021387D">
        <w:rPr>
          <w:bCs/>
          <w:lang w:val="hu-HU"/>
        </w:rPr>
        <w:t>Az Általános Kommentár Tervezet 56. bekezdése a CRPD 29. cikke (A politikai életben és közéletben való részvétel) és 24. cikke közötti kapcsolattal foglalkozik és majdnem szó szerint megismétli a 29. cikk (b) bekezdését. A MEOSZ úgy gondolja, hogy a CRPD szövegének egy általános kommentárban történő puszta megismétlése nem hasznos a részes államok számára</w:t>
      </w:r>
      <w:r w:rsidR="004C105E">
        <w:rPr>
          <w:bCs/>
          <w:lang w:val="hu-HU"/>
        </w:rPr>
        <w:t xml:space="preserve">. Úgy gondoljuk azonban, hogy a közélet magában foglalja hallgatói szervezetek – mint például hallgatói önkormányzatok, hallgatói szakszervezetek, hallgatói </w:t>
      </w:r>
      <w:r w:rsidR="004C105E">
        <w:rPr>
          <w:bCs/>
          <w:lang w:val="hu-HU"/>
        </w:rPr>
        <w:lastRenderedPageBreak/>
        <w:t>szövetségek</w:t>
      </w:r>
      <w:r w:rsidR="008829E9">
        <w:rPr>
          <w:bCs/>
          <w:lang w:val="hu-HU"/>
        </w:rPr>
        <w:t xml:space="preserve"> etc.</w:t>
      </w:r>
      <w:r w:rsidR="004C105E">
        <w:rPr>
          <w:bCs/>
          <w:lang w:val="hu-HU"/>
        </w:rPr>
        <w:t xml:space="preserve"> – megalakítását és az abban való részvételt.</w:t>
      </w:r>
      <w:r w:rsidR="008829E9">
        <w:rPr>
          <w:bCs/>
          <w:lang w:val="hu-HU"/>
        </w:rPr>
        <w:t xml:space="preserve"> A MEOSZ úgy véli, hogy a részes államoknak aktívan elő kell mozdítaniuk egy olyan környezetet, amelyben a fogyatékossággal élő személyek </w:t>
      </w:r>
      <w:r w:rsidR="008829E9" w:rsidRPr="008829E9">
        <w:rPr>
          <w:bCs/>
          <w:lang w:val="hu-HU"/>
        </w:rPr>
        <w:t>ilyen hallgatói szervezetek</w:t>
      </w:r>
      <w:r w:rsidR="008829E9">
        <w:rPr>
          <w:bCs/>
          <w:lang w:val="hu-HU"/>
        </w:rPr>
        <w:t>et</w:t>
      </w:r>
      <w:r w:rsidR="008829E9" w:rsidRPr="008829E9">
        <w:rPr>
          <w:bCs/>
          <w:lang w:val="hu-HU"/>
        </w:rPr>
        <w:t xml:space="preserve"> </w:t>
      </w:r>
      <w:r w:rsidR="008829E9">
        <w:rPr>
          <w:bCs/>
          <w:lang w:val="hu-HU"/>
        </w:rPr>
        <w:t>létrehozhatnak, csatlakozhatnak hozzájuk, valamint ténylegesen és teljes körűen részt vehetnek bennük.</w:t>
      </w:r>
    </w:p>
    <w:p w:rsidR="008829E9" w:rsidRDefault="008829E9" w:rsidP="004C105E">
      <w:pPr>
        <w:jc w:val="both"/>
        <w:rPr>
          <w:bCs/>
          <w:lang w:val="hu-HU"/>
        </w:rPr>
      </w:pPr>
    </w:p>
    <w:p w:rsidR="008829E9" w:rsidRPr="008829E9" w:rsidRDefault="008829E9" w:rsidP="0021387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
          <w:lang w:val="hu-HU"/>
        </w:rPr>
      </w:pPr>
      <w:r w:rsidRPr="008829E9">
        <w:rPr>
          <w:bCs/>
          <w:i/>
          <w:lang w:val="hu-HU"/>
        </w:rPr>
        <w:t>Javasolt kiegészített szöveg a</w:t>
      </w:r>
      <w:r>
        <w:rPr>
          <w:bCs/>
          <w:i/>
          <w:lang w:val="hu-HU"/>
        </w:rPr>
        <w:t>z 56. bekezdéshez</w:t>
      </w:r>
      <w:r w:rsidRPr="008829E9">
        <w:rPr>
          <w:bCs/>
          <w:i/>
          <w:lang w:val="hu-HU"/>
        </w:rPr>
        <w:t>:</w:t>
      </w:r>
    </w:p>
    <w:p w:rsidR="008829E9" w:rsidRDefault="008829E9" w:rsidP="0021387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lang w:val="hu-HU"/>
        </w:rPr>
      </w:pPr>
    </w:p>
    <w:p w:rsidR="008829E9" w:rsidRDefault="0021387D" w:rsidP="0021387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Pr>
          <w:bCs/>
          <w:lang w:val="hu-HU"/>
        </w:rPr>
        <w:t xml:space="preserve">(…) </w:t>
      </w:r>
      <w:r w:rsidR="00345A6B" w:rsidRPr="00345A6B">
        <w:rPr>
          <w:bCs/>
          <w:lang w:val="hu-HU"/>
        </w:rPr>
        <w:t>Ez majd bátorítja is őket</w:t>
      </w:r>
      <w:r>
        <w:rPr>
          <w:bCs/>
          <w:lang w:val="hu-HU"/>
        </w:rPr>
        <w:t xml:space="preserve"> (…)</w:t>
      </w:r>
      <w:r w:rsidR="00345A6B" w:rsidRPr="00345A6B">
        <w:rPr>
          <w:bCs/>
          <w:lang w:val="hu-HU"/>
        </w:rPr>
        <w:t xml:space="preserve"> fogyatékossággal élő személyek szervezeteinek létrehozására, ill. ezekhez való csatlakozásra, hogy képviselhessék őket nemzetközi, országos, regionális és helyi szinteken. </w:t>
      </w:r>
      <w:r w:rsidRPr="0021387D">
        <w:rPr>
          <w:b/>
          <w:bCs/>
          <w:lang w:val="hu-HU"/>
        </w:rPr>
        <w:t>A Bizottság felhívja a részes államok figyelmét arra a tényre, hogy a közélet magában foglalja hallgatói szervezetek – mint például hallgatói önkormányzatok, hallgatói szakszervezetek, hallgatói szövetségek etc. – megalakítását és az abban való részvételt. A részes államoknak aktívan elő kell mozdítaniuk egy olyan környezetet, amelyben a fogyatékossággal élő személyek ilyen hallgatói szervezeteket létrehozhatnak, csatlakozhatnak hozzájuk, valamint ténylegesen és teljes körűen részt vehetnek bennük.</w:t>
      </w:r>
      <w:r>
        <w:rPr>
          <w:b/>
          <w:bCs/>
          <w:lang w:val="hu-HU"/>
        </w:rPr>
        <w:t xml:space="preserve"> Ez a megközelítés összhangban áll a „semmit rólunk nélkülünk” elvvel.</w:t>
      </w:r>
    </w:p>
    <w:p w:rsidR="008829E9" w:rsidRDefault="008829E9" w:rsidP="007420AE">
      <w:pPr>
        <w:jc w:val="both"/>
        <w:rPr>
          <w:b/>
          <w:bCs/>
        </w:rPr>
      </w:pPr>
    </w:p>
    <w:p w:rsidR="0021387D" w:rsidRPr="0021387D" w:rsidRDefault="007420AE" w:rsidP="0021387D">
      <w:pPr>
        <w:jc w:val="both"/>
        <w:rPr>
          <w:bCs/>
          <w:lang w:val="hu-HU"/>
        </w:rPr>
      </w:pPr>
      <w:r w:rsidRPr="00BF5B77">
        <w:rPr>
          <w:b/>
          <w:bCs/>
          <w:lang w:val="en-GB"/>
        </w:rPr>
        <w:t>16.</w:t>
      </w:r>
      <w:r>
        <w:rPr>
          <w:bCs/>
          <w:lang w:val="en-GB"/>
        </w:rPr>
        <w:t xml:space="preserve"> </w:t>
      </w:r>
      <w:r w:rsidR="0021387D" w:rsidRPr="0021387D">
        <w:rPr>
          <w:bCs/>
          <w:lang w:val="hu-HU"/>
        </w:rPr>
        <w:t>Az</w:t>
      </w:r>
      <w:r w:rsidR="0021387D">
        <w:rPr>
          <w:bCs/>
          <w:lang w:val="hu-HU"/>
        </w:rPr>
        <w:t xml:space="preserve"> Általános Kommentár Tervezet 63(d)</w:t>
      </w:r>
      <w:r w:rsidR="0021387D" w:rsidRPr="0021387D">
        <w:rPr>
          <w:bCs/>
          <w:lang w:val="hu-HU"/>
        </w:rPr>
        <w:t xml:space="preserve"> bekezdése</w:t>
      </w:r>
      <w:r w:rsidR="0021387D">
        <w:rPr>
          <w:bCs/>
          <w:lang w:val="hu-HU"/>
        </w:rPr>
        <w:t xml:space="preserve"> hangsúlyozza, hogy </w:t>
      </w:r>
      <w:proofErr w:type="gramStart"/>
      <w:r w:rsidR="0021387D">
        <w:rPr>
          <w:bCs/>
          <w:lang w:val="hu-HU"/>
        </w:rPr>
        <w:t>az</w:t>
      </w:r>
      <w:proofErr w:type="gramEnd"/>
      <w:r w:rsidR="0021387D">
        <w:rPr>
          <w:bCs/>
          <w:lang w:val="hu-HU"/>
        </w:rPr>
        <w:t xml:space="preserve"> inkluzív oktatás kulcsfontosságú elemei magában foglalják „az </w:t>
      </w:r>
      <w:r w:rsidR="0021387D" w:rsidRPr="0021387D">
        <w:rPr>
          <w:bCs/>
          <w:lang w:val="hu-HU"/>
        </w:rPr>
        <w:t xml:space="preserve">új iskolák tervezésekor és építésekor a </w:t>
      </w:r>
      <w:r w:rsidR="0021387D">
        <w:rPr>
          <w:bCs/>
          <w:lang w:val="hu-HU"/>
        </w:rPr>
        <w:t xml:space="preserve">hozzáférhetőség </w:t>
      </w:r>
      <w:r w:rsidR="0021387D" w:rsidRPr="0021387D">
        <w:rPr>
          <w:bCs/>
          <w:lang w:val="hu-HU"/>
        </w:rPr>
        <w:t>elfogadható standardjai figyelembevételének követelmény</w:t>
      </w:r>
      <w:r w:rsidR="0021387D">
        <w:rPr>
          <w:bCs/>
          <w:lang w:val="hu-HU"/>
        </w:rPr>
        <w:t>ét</w:t>
      </w:r>
      <w:r w:rsidR="0021387D" w:rsidRPr="0021387D">
        <w:rPr>
          <w:bCs/>
          <w:lang w:val="hu-HU"/>
        </w:rPr>
        <w:t>, a már létező iskolák adaptációjára vonatkozó időkerettel</w:t>
      </w:r>
      <w:r w:rsidR="0021387D">
        <w:rPr>
          <w:bCs/>
          <w:lang w:val="hu-HU"/>
        </w:rPr>
        <w:t xml:space="preserve"> együtt.” A MEOSZ úgy gondolja, hogy a</w:t>
      </w:r>
      <w:r w:rsidR="0021387D" w:rsidRPr="0021387D">
        <w:rPr>
          <w:bCs/>
          <w:lang w:val="hu-HU"/>
        </w:rPr>
        <w:t>z Általános Kommentár Tervezet</w:t>
      </w:r>
      <w:r w:rsidR="0021387D">
        <w:rPr>
          <w:bCs/>
          <w:lang w:val="hu-HU"/>
        </w:rPr>
        <w:t xml:space="preserve"> 21. bekezdése hasznos definíciót ad </w:t>
      </w:r>
      <w:r w:rsidR="006C711F">
        <w:rPr>
          <w:bCs/>
          <w:lang w:val="hu-HU"/>
        </w:rPr>
        <w:t>az Egyetemes T</w:t>
      </w:r>
      <w:r w:rsidR="0021387D">
        <w:rPr>
          <w:bCs/>
          <w:lang w:val="hu-HU"/>
        </w:rPr>
        <w:t xml:space="preserve">ervezésre </w:t>
      </w:r>
      <w:r w:rsidR="006C711F">
        <w:rPr>
          <w:bCs/>
          <w:lang w:val="hu-HU"/>
        </w:rPr>
        <w:t xml:space="preserve">vonatkozóan, </w:t>
      </w:r>
      <w:r w:rsidR="0021387D">
        <w:rPr>
          <w:bCs/>
          <w:lang w:val="hu-HU"/>
        </w:rPr>
        <w:t xml:space="preserve">és úgy véljük, hogy a </w:t>
      </w:r>
      <w:proofErr w:type="gramStart"/>
      <w:r w:rsidR="0021387D">
        <w:rPr>
          <w:bCs/>
          <w:lang w:val="hu-HU"/>
        </w:rPr>
        <w:t>63(</w:t>
      </w:r>
      <w:proofErr w:type="gramEnd"/>
      <w:r w:rsidR="0021387D">
        <w:rPr>
          <w:bCs/>
          <w:lang w:val="hu-HU"/>
        </w:rPr>
        <w:t xml:space="preserve">d) bekezdés </w:t>
      </w:r>
      <w:r w:rsidR="006C711F">
        <w:rPr>
          <w:bCs/>
          <w:lang w:val="hu-HU"/>
        </w:rPr>
        <w:t>megfelelőbb lenne, ha utalást tartalmazna az Egyetemes Tervezés fogalmára.</w:t>
      </w:r>
    </w:p>
    <w:p w:rsidR="0021387D" w:rsidRDefault="0021387D" w:rsidP="007420AE">
      <w:pPr>
        <w:jc w:val="both"/>
        <w:rPr>
          <w:lang w:val="en-GB"/>
        </w:rPr>
      </w:pPr>
    </w:p>
    <w:p w:rsidR="006C711F" w:rsidRPr="006C711F" w:rsidRDefault="006C711F" w:rsidP="006C711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
          <w:lang w:val="hu-HU"/>
        </w:rPr>
      </w:pPr>
      <w:r w:rsidRPr="006C711F">
        <w:rPr>
          <w:bCs/>
          <w:i/>
          <w:lang w:val="hu-HU"/>
        </w:rPr>
        <w:t xml:space="preserve">Javasolt módosított szöveg a </w:t>
      </w:r>
      <w:proofErr w:type="gramStart"/>
      <w:r>
        <w:rPr>
          <w:bCs/>
          <w:i/>
          <w:lang w:val="hu-HU"/>
        </w:rPr>
        <w:t>63(</w:t>
      </w:r>
      <w:proofErr w:type="gramEnd"/>
      <w:r>
        <w:rPr>
          <w:bCs/>
          <w:i/>
          <w:lang w:val="hu-HU"/>
        </w:rPr>
        <w:t>d)</w:t>
      </w:r>
      <w:r w:rsidRPr="006C711F">
        <w:rPr>
          <w:bCs/>
          <w:i/>
          <w:lang w:val="hu-HU"/>
        </w:rPr>
        <w:t xml:space="preserve"> bekezdéshez:</w:t>
      </w:r>
    </w:p>
    <w:p w:rsidR="0021387D" w:rsidRPr="005928E1" w:rsidRDefault="0021387D" w:rsidP="006C711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p>
    <w:p w:rsidR="007420AE" w:rsidRDefault="006C711F" w:rsidP="006C711F">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lang w:val="hu-HU"/>
        </w:rPr>
      </w:pPr>
      <w:r>
        <w:rPr>
          <w:bCs/>
          <w:lang w:val="hu-HU"/>
        </w:rPr>
        <w:t>A</w:t>
      </w:r>
      <w:r w:rsidRPr="006C711F">
        <w:rPr>
          <w:bCs/>
          <w:lang w:val="hu-HU"/>
        </w:rPr>
        <w:t>z új iskolák tervezésekor és építésekor a</w:t>
      </w:r>
      <w:r w:rsidRPr="006C711F">
        <w:rPr>
          <w:b/>
          <w:bCs/>
          <w:lang w:val="hu-HU"/>
        </w:rPr>
        <w:t>z</w:t>
      </w:r>
      <w:r w:rsidRPr="006C711F">
        <w:rPr>
          <w:bCs/>
          <w:lang w:val="hu-HU"/>
        </w:rPr>
        <w:t xml:space="preserve"> </w:t>
      </w:r>
      <w:r w:rsidRPr="006C711F">
        <w:rPr>
          <w:b/>
          <w:bCs/>
          <w:lang w:val="hu-HU"/>
        </w:rPr>
        <w:t>Egyetemes Tervezés</w:t>
      </w:r>
      <w:r>
        <w:rPr>
          <w:bCs/>
          <w:lang w:val="hu-HU"/>
        </w:rPr>
        <w:t xml:space="preserve"> </w:t>
      </w:r>
      <w:r w:rsidRPr="006C711F">
        <w:rPr>
          <w:bCs/>
          <w:strike/>
          <w:lang w:val="hu-HU"/>
        </w:rPr>
        <w:t xml:space="preserve">hozzáférhetőség elfogadható standardjai </w:t>
      </w:r>
      <w:r w:rsidRPr="006C711F">
        <w:rPr>
          <w:bCs/>
          <w:lang w:val="hu-HU"/>
        </w:rPr>
        <w:t>figyelembevételének követelmény</w:t>
      </w:r>
      <w:r>
        <w:rPr>
          <w:bCs/>
          <w:lang w:val="hu-HU"/>
        </w:rPr>
        <w:t>e</w:t>
      </w:r>
      <w:r w:rsidRPr="006C711F">
        <w:rPr>
          <w:bCs/>
          <w:lang w:val="hu-HU"/>
        </w:rPr>
        <w:t>, a már létező iskolák adaptációjára vonatkozó időkerettel együtt.</w:t>
      </w:r>
    </w:p>
    <w:sectPr w:rsidR="007420AE" w:rsidSect="00181A0D">
      <w:footerReference w:type="defaul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3F" w:rsidRDefault="0089353F" w:rsidP="00DB6495">
      <w:r>
        <w:separator/>
      </w:r>
    </w:p>
  </w:endnote>
  <w:endnote w:type="continuationSeparator" w:id="0">
    <w:p w:rsidR="0089353F" w:rsidRDefault="0089353F" w:rsidP="00DB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Roman">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48327"/>
      <w:docPartObj>
        <w:docPartGallery w:val="Page Numbers (Bottom of Page)"/>
        <w:docPartUnique/>
      </w:docPartObj>
    </w:sdtPr>
    <w:sdtEndPr/>
    <w:sdtContent>
      <w:p w:rsidR="0089353F" w:rsidRDefault="0089353F">
        <w:pPr>
          <w:pStyle w:val="llb"/>
          <w:jc w:val="right"/>
        </w:pPr>
        <w:r>
          <w:fldChar w:fldCharType="begin"/>
        </w:r>
        <w:r>
          <w:instrText>PAGE   \* MERGEFORMAT</w:instrText>
        </w:r>
        <w:r>
          <w:fldChar w:fldCharType="separate"/>
        </w:r>
        <w:r w:rsidR="00AE4CAA" w:rsidRPr="00AE4CAA">
          <w:rPr>
            <w:noProof/>
            <w:lang w:val="hu-HU"/>
          </w:rPr>
          <w:t>2</w:t>
        </w:r>
        <w:r>
          <w:fldChar w:fldCharType="end"/>
        </w:r>
      </w:p>
    </w:sdtContent>
  </w:sdt>
  <w:p w:rsidR="0089353F" w:rsidRDefault="008935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3F" w:rsidRDefault="0089353F" w:rsidP="00DB6495">
      <w:r>
        <w:separator/>
      </w:r>
    </w:p>
  </w:footnote>
  <w:footnote w:type="continuationSeparator" w:id="0">
    <w:p w:rsidR="0089353F" w:rsidRDefault="0089353F" w:rsidP="00DB6495">
      <w:r>
        <w:continuationSeparator/>
      </w:r>
    </w:p>
  </w:footnote>
  <w:footnote w:id="1">
    <w:p w:rsidR="0089353F" w:rsidRPr="004012A6" w:rsidRDefault="0089353F" w:rsidP="00942517">
      <w:pPr>
        <w:pStyle w:val="Lbjegyzetszveg"/>
        <w:jc w:val="both"/>
        <w:rPr>
          <w:lang w:val="hu-HU"/>
        </w:rPr>
      </w:pPr>
      <w:r w:rsidRPr="004012A6">
        <w:rPr>
          <w:rStyle w:val="Lbjegyzet-hivatkozs"/>
          <w:lang w:val="hu-HU"/>
        </w:rPr>
        <w:footnoteRef/>
      </w:r>
      <w:r w:rsidRPr="004012A6">
        <w:rPr>
          <w:lang w:val="hu-HU"/>
        </w:rPr>
        <w:t xml:space="preserve"> A CRPD a Fogyatékossággal élő személyek jogairól szóló ENSZ Egyezmény angol nyelvű címének (</w:t>
      </w:r>
      <w:proofErr w:type="spellStart"/>
      <w:r w:rsidRPr="004012A6">
        <w:rPr>
          <w:lang w:val="hu-HU"/>
        </w:rPr>
        <w:t>Convention</w:t>
      </w:r>
      <w:proofErr w:type="spellEnd"/>
      <w:r w:rsidRPr="004012A6">
        <w:rPr>
          <w:lang w:val="hu-HU"/>
        </w:rPr>
        <w:t xml:space="preserve"> </w:t>
      </w:r>
      <w:proofErr w:type="spellStart"/>
      <w:r w:rsidRPr="004012A6">
        <w:rPr>
          <w:lang w:val="hu-HU"/>
        </w:rPr>
        <w:t>on</w:t>
      </w:r>
      <w:proofErr w:type="spellEnd"/>
      <w:r w:rsidRPr="004012A6">
        <w:rPr>
          <w:lang w:val="hu-HU"/>
        </w:rPr>
        <w:t xml:space="preserve"> </w:t>
      </w:r>
      <w:proofErr w:type="spellStart"/>
      <w:r w:rsidRPr="004012A6">
        <w:rPr>
          <w:lang w:val="hu-HU"/>
        </w:rPr>
        <w:t>the</w:t>
      </w:r>
      <w:proofErr w:type="spellEnd"/>
      <w:r w:rsidRPr="004012A6">
        <w:rPr>
          <w:lang w:val="hu-HU"/>
        </w:rPr>
        <w:t xml:space="preserve"> </w:t>
      </w:r>
      <w:proofErr w:type="spellStart"/>
      <w:r w:rsidRPr="004012A6">
        <w:rPr>
          <w:lang w:val="hu-HU"/>
        </w:rPr>
        <w:t>Rights</w:t>
      </w:r>
      <w:proofErr w:type="spellEnd"/>
      <w:r w:rsidRPr="004012A6">
        <w:rPr>
          <w:lang w:val="hu-HU"/>
        </w:rPr>
        <w:t xml:space="preserve"> of </w:t>
      </w:r>
      <w:proofErr w:type="spellStart"/>
      <w:r w:rsidRPr="004012A6">
        <w:rPr>
          <w:lang w:val="hu-HU"/>
        </w:rPr>
        <w:t>Persons</w:t>
      </w:r>
      <w:proofErr w:type="spellEnd"/>
      <w:r w:rsidRPr="004012A6">
        <w:rPr>
          <w:lang w:val="hu-HU"/>
        </w:rPr>
        <w:t xml:space="preserve"> </w:t>
      </w:r>
      <w:proofErr w:type="spellStart"/>
      <w:r w:rsidRPr="004012A6">
        <w:rPr>
          <w:lang w:val="hu-HU"/>
        </w:rPr>
        <w:t>with</w:t>
      </w:r>
      <w:proofErr w:type="spellEnd"/>
      <w:r w:rsidRPr="004012A6">
        <w:rPr>
          <w:lang w:val="hu-HU"/>
        </w:rPr>
        <w:t xml:space="preserve"> </w:t>
      </w:r>
      <w:proofErr w:type="spellStart"/>
      <w:r w:rsidRPr="004012A6">
        <w:rPr>
          <w:lang w:val="hu-HU"/>
        </w:rPr>
        <w:t>Disabilities</w:t>
      </w:r>
      <w:proofErr w:type="spellEnd"/>
      <w:r w:rsidRPr="004012A6">
        <w:rPr>
          <w:lang w:val="hu-HU"/>
        </w:rPr>
        <w:t>) rövidítése.</w:t>
      </w:r>
    </w:p>
  </w:footnote>
  <w:footnote w:id="2">
    <w:p w:rsidR="0089353F" w:rsidRPr="00835DB6" w:rsidRDefault="0089353F" w:rsidP="00D602ED">
      <w:pPr>
        <w:pStyle w:val="Lbjegyzetszveg"/>
        <w:jc w:val="both"/>
        <w:rPr>
          <w:lang w:val="hu-HU"/>
        </w:rPr>
      </w:pPr>
      <w:r w:rsidRPr="00835DB6">
        <w:rPr>
          <w:rStyle w:val="Lbjegyzet-hivatkozs"/>
          <w:lang w:val="hu-HU"/>
        </w:rPr>
        <w:footnoteRef/>
      </w:r>
      <w:r w:rsidRPr="00835DB6">
        <w:rPr>
          <w:lang w:val="hu-HU"/>
        </w:rPr>
        <w:t xml:space="preserve"> </w:t>
      </w:r>
      <w:r w:rsidR="00AE4CAA">
        <w:rPr>
          <w:lang w:val="hu-HU"/>
        </w:rPr>
        <w:t xml:space="preserve">BOOTH, </w:t>
      </w:r>
      <w:r w:rsidRPr="00835DB6">
        <w:rPr>
          <w:lang w:val="hu-HU"/>
        </w:rPr>
        <w:t xml:space="preserve">Tony – </w:t>
      </w:r>
      <w:r w:rsidR="00AE4CAA">
        <w:rPr>
          <w:lang w:val="hu-HU"/>
        </w:rPr>
        <w:t xml:space="preserve">AINSCOW, </w:t>
      </w:r>
      <w:proofErr w:type="spellStart"/>
      <w:r w:rsidRPr="00835DB6">
        <w:rPr>
          <w:lang w:val="hu-HU"/>
        </w:rPr>
        <w:t>Mel</w:t>
      </w:r>
      <w:proofErr w:type="spellEnd"/>
      <w:r w:rsidRPr="00835DB6">
        <w:rPr>
          <w:lang w:val="hu-HU"/>
        </w:rPr>
        <w:t xml:space="preserve">: </w:t>
      </w:r>
      <w:proofErr w:type="spellStart"/>
      <w:r w:rsidRPr="00835DB6">
        <w:rPr>
          <w:i/>
          <w:lang w:val="hu-HU"/>
        </w:rPr>
        <w:t>Inklúziós</w:t>
      </w:r>
      <w:proofErr w:type="spellEnd"/>
      <w:r w:rsidRPr="00835DB6">
        <w:rPr>
          <w:i/>
          <w:lang w:val="hu-HU"/>
        </w:rPr>
        <w:t xml:space="preserve"> index. Útmutató az inkluzív iskolák fejlesztéséhez.</w:t>
      </w:r>
      <w:r w:rsidRPr="00835DB6">
        <w:rPr>
          <w:lang w:val="hu-HU"/>
        </w:rPr>
        <w:br/>
      </w:r>
      <w:proofErr w:type="spellStart"/>
      <w:r w:rsidRPr="00835DB6">
        <w:rPr>
          <w:lang w:val="hu-HU"/>
        </w:rPr>
        <w:t>Csefkó</w:t>
      </w:r>
      <w:proofErr w:type="spellEnd"/>
      <w:r w:rsidRPr="00835DB6">
        <w:rPr>
          <w:lang w:val="hu-HU"/>
        </w:rPr>
        <w:t xml:space="preserve"> Mónika, Csepregi András és a Mozgáskorlátozottak Békés Megyei Egyesülete, Békéscsaba, 2009. 13-14.</w:t>
      </w:r>
    </w:p>
  </w:footnote>
  <w:footnote w:id="3">
    <w:p w:rsidR="0089353F" w:rsidRPr="00864AB5" w:rsidRDefault="0089353F">
      <w:pPr>
        <w:pStyle w:val="Lbjegyzetszveg"/>
        <w:rPr>
          <w:lang w:val="hu-HU"/>
        </w:rPr>
      </w:pPr>
      <w:r w:rsidRPr="00835DB6">
        <w:rPr>
          <w:rStyle w:val="Lbjegyzet-hivatkozs"/>
          <w:lang w:val="hu-HU"/>
        </w:rPr>
        <w:footnoteRef/>
      </w:r>
      <w:r w:rsidRPr="00835DB6">
        <w:rPr>
          <w:lang w:val="hu-HU"/>
        </w:rPr>
        <w:t xml:space="preserve"> Uo. 60.</w:t>
      </w:r>
      <w:bookmarkStart w:id="0" w:name="_GoBack"/>
      <w:bookmarkEnd w:id="0"/>
    </w:p>
  </w:footnote>
  <w:footnote w:id="4">
    <w:p w:rsidR="0089353F" w:rsidRPr="000423BD" w:rsidRDefault="0089353F">
      <w:pPr>
        <w:pStyle w:val="Lbjegyzetszveg"/>
        <w:rPr>
          <w:lang w:val="hu-HU"/>
        </w:rPr>
      </w:pPr>
      <w:r>
        <w:rPr>
          <w:rStyle w:val="Lbjegyzet-hivatkozs"/>
        </w:rPr>
        <w:footnoteRef/>
      </w:r>
      <w:r>
        <w:t xml:space="preserve"> </w:t>
      </w:r>
      <w:r>
        <w:rPr>
          <w:lang w:val="hu-HU"/>
        </w:rPr>
        <w:t>Uo.</w:t>
      </w:r>
    </w:p>
  </w:footnote>
  <w:footnote w:id="5">
    <w:p w:rsidR="0089353F" w:rsidRPr="00620A76" w:rsidRDefault="0089353F" w:rsidP="00620A76">
      <w:pPr>
        <w:pStyle w:val="Lbjegyzetszveg"/>
        <w:jc w:val="both"/>
        <w:rPr>
          <w:lang w:val="hu-HU"/>
        </w:rPr>
      </w:pPr>
      <w:r>
        <w:rPr>
          <w:rStyle w:val="Lbjegyzet-hivatkozs"/>
        </w:rPr>
        <w:footnoteRef/>
      </w:r>
      <w:r>
        <w:t xml:space="preserve"> </w:t>
      </w:r>
      <w:proofErr w:type="gramStart"/>
      <w:r w:rsidRPr="00620A76">
        <w:rPr>
          <w:lang w:val="en-GB"/>
        </w:rPr>
        <w:t>The concept and practice of affirmative action.</w:t>
      </w:r>
      <w:proofErr w:type="gramEnd"/>
      <w:r w:rsidRPr="00620A76">
        <w:t xml:space="preserve"> Final report submitted by Mr. Marc </w:t>
      </w:r>
      <w:proofErr w:type="spellStart"/>
      <w:r w:rsidRPr="00620A76">
        <w:t>Bossuyt</w:t>
      </w:r>
      <w:proofErr w:type="spellEnd"/>
      <w:r w:rsidRPr="00620A76">
        <w:t xml:space="preserve">, Special Rapporteur, in accordance with Resolution 1998/5 of the Sub-Commission on the Promotion and Protection of Human Rights, E/CN.4/Sub.2/2002/21, 17 June </w:t>
      </w:r>
      <w:r w:rsidRPr="006C711F">
        <w:rPr>
          <w:lang w:val="hu-HU"/>
        </w:rPr>
        <w:t>2002. 6. bekezdés.</w:t>
      </w:r>
    </w:p>
  </w:footnote>
  <w:footnote w:id="6">
    <w:p w:rsidR="0089353F" w:rsidRPr="00B26A1C" w:rsidRDefault="0089353F">
      <w:pPr>
        <w:pStyle w:val="Lbjegyzetszveg"/>
        <w:rPr>
          <w:lang w:val="hu-HU"/>
        </w:rPr>
      </w:pPr>
      <w:r>
        <w:rPr>
          <w:rStyle w:val="Lbjegyzet-hivatkozs"/>
        </w:rPr>
        <w:footnoteRef/>
      </w:r>
      <w:r>
        <w:t xml:space="preserve"> “</w:t>
      </w:r>
      <w:proofErr w:type="gramStart"/>
      <w:r>
        <w:t>special</w:t>
      </w:r>
      <w:proofErr w:type="gramEnd"/>
      <w:r>
        <w:t xml:space="preserve"> measures”.</w:t>
      </w:r>
    </w:p>
  </w:footnote>
  <w:footnote w:id="7">
    <w:p w:rsidR="0089353F" w:rsidRPr="00B26A1C" w:rsidRDefault="0089353F">
      <w:pPr>
        <w:pStyle w:val="Lbjegyzetszveg"/>
        <w:rPr>
          <w:lang w:val="hu-HU"/>
        </w:rPr>
      </w:pPr>
      <w:r>
        <w:rPr>
          <w:rStyle w:val="Lbjegyzet-hivatkozs"/>
        </w:rPr>
        <w:footnoteRef/>
      </w:r>
      <w:r>
        <w:t xml:space="preserve"> </w:t>
      </w:r>
      <w:r w:rsidRPr="00B26A1C">
        <w:t>E/CN.4/Sub.2/2002/21</w:t>
      </w:r>
      <w:r>
        <w:rPr>
          <w:lang w:val="hu-HU"/>
        </w:rPr>
        <w:t>. 40. bekezdés.</w:t>
      </w:r>
    </w:p>
  </w:footnote>
  <w:footnote w:id="8">
    <w:p w:rsidR="0089353F" w:rsidRPr="00B26A1C" w:rsidRDefault="0089353F">
      <w:pPr>
        <w:pStyle w:val="Lbjegyzetszveg"/>
        <w:rPr>
          <w:lang w:val="hu-HU"/>
        </w:rPr>
      </w:pPr>
      <w:r>
        <w:rPr>
          <w:rStyle w:val="Lbjegyzet-hivatkozs"/>
        </w:rPr>
        <w:footnoteRef/>
      </w:r>
      <w:r>
        <w:t xml:space="preserve"> </w:t>
      </w:r>
      <w:r w:rsidRPr="00B26A1C">
        <w:t>“</w:t>
      </w:r>
      <w:proofErr w:type="gramStart"/>
      <w:r w:rsidRPr="00B26A1C">
        <w:t>specific</w:t>
      </w:r>
      <w:proofErr w:type="gramEnd"/>
      <w:r w:rsidRPr="00B26A1C">
        <w:t xml:space="preserve"> measures”</w:t>
      </w:r>
      <w:r>
        <w:t>.</w:t>
      </w:r>
    </w:p>
  </w:footnote>
  <w:footnote w:id="9">
    <w:p w:rsidR="0089353F" w:rsidRPr="00E44845" w:rsidRDefault="0089353F" w:rsidP="00F90B89">
      <w:pPr>
        <w:pStyle w:val="Lbjegyzetszveg"/>
        <w:jc w:val="both"/>
      </w:pPr>
      <w:r>
        <w:rPr>
          <w:rStyle w:val="Lbjegyzet-hivatkozs"/>
        </w:rPr>
        <w:footnoteRef/>
      </w:r>
      <w:r>
        <w:t xml:space="preserve"> </w:t>
      </w:r>
      <w:r w:rsidRPr="00E44845">
        <w:t>C</w:t>
      </w:r>
      <w:r>
        <w:t>RAVEN</w:t>
      </w:r>
      <w:r w:rsidRPr="00E44845">
        <w:t>, Matthew</w:t>
      </w:r>
      <w:r>
        <w:t>:</w:t>
      </w:r>
      <w:r w:rsidRPr="00E44845">
        <w:t xml:space="preserve"> </w:t>
      </w:r>
      <w:r w:rsidRPr="00E44845">
        <w:rPr>
          <w:i/>
        </w:rPr>
        <w:t>The International Covenant on Economic, Social and Cultural Rights, a perspective on its development</w:t>
      </w:r>
      <w:r>
        <w:t>.</w:t>
      </w:r>
      <w:r w:rsidRPr="00E44845">
        <w:t xml:space="preserve"> Clarendon Press, Oxford, </w:t>
      </w:r>
      <w:r>
        <w:t>1995. 186</w:t>
      </w:r>
      <w:r w:rsidRPr="00E44845">
        <w:t>.</w:t>
      </w:r>
    </w:p>
    <w:p w:rsidR="0089353F" w:rsidRPr="00E44845" w:rsidRDefault="0089353F" w:rsidP="00F90B89">
      <w:pPr>
        <w:pStyle w:val="Lbjegyzetszveg"/>
        <w:rPr>
          <w:lang w:val="hu-HU"/>
        </w:rPr>
      </w:pPr>
    </w:p>
  </w:footnote>
  <w:footnote w:id="10">
    <w:p w:rsidR="00DC66B3" w:rsidRPr="006C711F" w:rsidRDefault="00DC66B3" w:rsidP="00DC66B3">
      <w:pPr>
        <w:pStyle w:val="Lbjegyzetszveg"/>
        <w:jc w:val="both"/>
        <w:rPr>
          <w:lang w:val="hu-HU"/>
        </w:rPr>
      </w:pPr>
      <w:r w:rsidRPr="006C711F">
        <w:rPr>
          <w:rStyle w:val="Lbjegyzet-hivatkozs"/>
          <w:lang w:val="hu-HU"/>
        </w:rPr>
        <w:footnoteRef/>
      </w:r>
      <w:r w:rsidRPr="006C711F">
        <w:rPr>
          <w:lang w:val="hu-HU"/>
        </w:rPr>
        <w:t xml:space="preserve"> CSUKA Viktória – NÁDASDI Zsófia – KELEMEN Anna: Cerebrális </w:t>
      </w:r>
      <w:proofErr w:type="spellStart"/>
      <w:r w:rsidRPr="006C711F">
        <w:rPr>
          <w:lang w:val="hu-HU"/>
        </w:rPr>
        <w:t>parézissel</w:t>
      </w:r>
      <w:proofErr w:type="spellEnd"/>
      <w:r w:rsidRPr="006C711F">
        <w:rPr>
          <w:lang w:val="hu-HU"/>
        </w:rPr>
        <w:t xml:space="preserve"> </w:t>
      </w:r>
      <w:r w:rsidR="006C711F" w:rsidRPr="006C711F">
        <w:rPr>
          <w:lang w:val="hu-HU"/>
        </w:rPr>
        <w:t>élő</w:t>
      </w:r>
      <w:r w:rsidRPr="006C711F">
        <w:rPr>
          <w:lang w:val="hu-HU"/>
        </w:rPr>
        <w:t xml:space="preserve"> gyermekek szorongásának és viselkedésének felmérése integrált és speciális iskolai környezetben. </w:t>
      </w:r>
      <w:r w:rsidRPr="006C711F">
        <w:rPr>
          <w:i/>
          <w:lang w:val="hu-HU"/>
        </w:rPr>
        <w:t>Gyógypedagógiai Szemle</w:t>
      </w:r>
      <w:r w:rsidRPr="006C711F">
        <w:rPr>
          <w:lang w:val="hu-HU"/>
        </w:rPr>
        <w:t xml:space="preserve">, </w:t>
      </w:r>
      <w:proofErr w:type="gramStart"/>
      <w:r w:rsidRPr="006C711F">
        <w:rPr>
          <w:lang w:val="hu-HU"/>
        </w:rPr>
        <w:t>42(</w:t>
      </w:r>
      <w:proofErr w:type="gramEnd"/>
      <w:r w:rsidRPr="006C711F">
        <w:rPr>
          <w:lang w:val="hu-HU"/>
        </w:rPr>
        <w:t>1): 2014, 43-44.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D0F"/>
    <w:multiLevelType w:val="hybridMultilevel"/>
    <w:tmpl w:val="CC64B1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DB5988"/>
    <w:multiLevelType w:val="multilevel"/>
    <w:tmpl w:val="0A442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CE03764"/>
    <w:multiLevelType w:val="hybridMultilevel"/>
    <w:tmpl w:val="DF489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1B0EDC"/>
    <w:multiLevelType w:val="hybridMultilevel"/>
    <w:tmpl w:val="62EA4308"/>
    <w:lvl w:ilvl="0" w:tplc="04090017">
      <w:start w:val="1"/>
      <w:numFmt w:val="lowerLetter"/>
      <w:lvlText w:val="%1)"/>
      <w:lvlJc w:val="left"/>
      <w:pPr>
        <w:ind w:left="720"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4">
    <w:nsid w:val="3BF314FA"/>
    <w:multiLevelType w:val="hybridMultilevel"/>
    <w:tmpl w:val="FE0A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D1438D"/>
    <w:multiLevelType w:val="hybridMultilevel"/>
    <w:tmpl w:val="6CFA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020295"/>
    <w:multiLevelType w:val="hybridMultilevel"/>
    <w:tmpl w:val="3546141A"/>
    <w:lvl w:ilvl="0" w:tplc="C9BCE5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7265AED"/>
    <w:multiLevelType w:val="multilevel"/>
    <w:tmpl w:val="F7C030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F4032A0"/>
    <w:multiLevelType w:val="hybridMultilevel"/>
    <w:tmpl w:val="E49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
  </w:num>
  <w:num w:numId="6">
    <w:abstractNumId w:val="4"/>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58"/>
    <w:rsid w:val="000140BC"/>
    <w:rsid w:val="0001517D"/>
    <w:rsid w:val="00021D58"/>
    <w:rsid w:val="00025594"/>
    <w:rsid w:val="00037CF0"/>
    <w:rsid w:val="0004203E"/>
    <w:rsid w:val="000423BD"/>
    <w:rsid w:val="000471E0"/>
    <w:rsid w:val="00053C75"/>
    <w:rsid w:val="0006505A"/>
    <w:rsid w:val="000655FE"/>
    <w:rsid w:val="0008087D"/>
    <w:rsid w:val="00084E92"/>
    <w:rsid w:val="000D7D72"/>
    <w:rsid w:val="000E3F04"/>
    <w:rsid w:val="000F5A8D"/>
    <w:rsid w:val="000F61A5"/>
    <w:rsid w:val="0010330D"/>
    <w:rsid w:val="00103720"/>
    <w:rsid w:val="00110F6E"/>
    <w:rsid w:val="00136189"/>
    <w:rsid w:val="001456A5"/>
    <w:rsid w:val="001761E2"/>
    <w:rsid w:val="00181A0D"/>
    <w:rsid w:val="001838E6"/>
    <w:rsid w:val="00193C34"/>
    <w:rsid w:val="001C0C99"/>
    <w:rsid w:val="001D4766"/>
    <w:rsid w:val="001E00D0"/>
    <w:rsid w:val="001E0D18"/>
    <w:rsid w:val="001F037A"/>
    <w:rsid w:val="001F3E01"/>
    <w:rsid w:val="001F609F"/>
    <w:rsid w:val="0021387D"/>
    <w:rsid w:val="002179F0"/>
    <w:rsid w:val="002520BC"/>
    <w:rsid w:val="00252CE6"/>
    <w:rsid w:val="00264A65"/>
    <w:rsid w:val="002818B9"/>
    <w:rsid w:val="0028553A"/>
    <w:rsid w:val="002A6AC9"/>
    <w:rsid w:val="002B42C8"/>
    <w:rsid w:val="002B610F"/>
    <w:rsid w:val="002B70AC"/>
    <w:rsid w:val="002B7751"/>
    <w:rsid w:val="002B7F8F"/>
    <w:rsid w:val="002C61C3"/>
    <w:rsid w:val="002D02C2"/>
    <w:rsid w:val="002D3898"/>
    <w:rsid w:val="002F49B5"/>
    <w:rsid w:val="002F611A"/>
    <w:rsid w:val="0030571D"/>
    <w:rsid w:val="00326E87"/>
    <w:rsid w:val="00345A6B"/>
    <w:rsid w:val="00382284"/>
    <w:rsid w:val="00391E6A"/>
    <w:rsid w:val="003B6A68"/>
    <w:rsid w:val="003D5542"/>
    <w:rsid w:val="003E108B"/>
    <w:rsid w:val="003E159B"/>
    <w:rsid w:val="003E1649"/>
    <w:rsid w:val="003E66EB"/>
    <w:rsid w:val="003E7E4C"/>
    <w:rsid w:val="004012A6"/>
    <w:rsid w:val="00404BAD"/>
    <w:rsid w:val="004058C9"/>
    <w:rsid w:val="00416EE9"/>
    <w:rsid w:val="00417E8B"/>
    <w:rsid w:val="00424AC6"/>
    <w:rsid w:val="00455AC7"/>
    <w:rsid w:val="00455BAC"/>
    <w:rsid w:val="00455D3D"/>
    <w:rsid w:val="004617B2"/>
    <w:rsid w:val="00467366"/>
    <w:rsid w:val="004712BD"/>
    <w:rsid w:val="004731DF"/>
    <w:rsid w:val="00474BD1"/>
    <w:rsid w:val="004856F9"/>
    <w:rsid w:val="004A4257"/>
    <w:rsid w:val="004B1093"/>
    <w:rsid w:val="004B4C4B"/>
    <w:rsid w:val="004C105E"/>
    <w:rsid w:val="004D0E9E"/>
    <w:rsid w:val="004D3BBE"/>
    <w:rsid w:val="004E552C"/>
    <w:rsid w:val="00507FA4"/>
    <w:rsid w:val="00510483"/>
    <w:rsid w:val="00520ADA"/>
    <w:rsid w:val="00526EF0"/>
    <w:rsid w:val="00560FAC"/>
    <w:rsid w:val="0058270E"/>
    <w:rsid w:val="005875D9"/>
    <w:rsid w:val="005B02F4"/>
    <w:rsid w:val="005B7500"/>
    <w:rsid w:val="006160DD"/>
    <w:rsid w:val="00620A76"/>
    <w:rsid w:val="0062427C"/>
    <w:rsid w:val="006323F7"/>
    <w:rsid w:val="006719EC"/>
    <w:rsid w:val="006765C0"/>
    <w:rsid w:val="00682967"/>
    <w:rsid w:val="006C711F"/>
    <w:rsid w:val="006D5A4A"/>
    <w:rsid w:val="006F68C4"/>
    <w:rsid w:val="0071543C"/>
    <w:rsid w:val="007420AE"/>
    <w:rsid w:val="007423CE"/>
    <w:rsid w:val="00750AB9"/>
    <w:rsid w:val="00756B46"/>
    <w:rsid w:val="00762195"/>
    <w:rsid w:val="00767240"/>
    <w:rsid w:val="00793EDA"/>
    <w:rsid w:val="007A1272"/>
    <w:rsid w:val="007C2B02"/>
    <w:rsid w:val="007E5081"/>
    <w:rsid w:val="007E75B0"/>
    <w:rsid w:val="00812F5E"/>
    <w:rsid w:val="00835DB6"/>
    <w:rsid w:val="008372AA"/>
    <w:rsid w:val="00842A28"/>
    <w:rsid w:val="008575FA"/>
    <w:rsid w:val="00864AB5"/>
    <w:rsid w:val="008714AF"/>
    <w:rsid w:val="008829E9"/>
    <w:rsid w:val="008833C4"/>
    <w:rsid w:val="0089353F"/>
    <w:rsid w:val="008A12B8"/>
    <w:rsid w:val="008A4551"/>
    <w:rsid w:val="008B3385"/>
    <w:rsid w:val="008D6DD3"/>
    <w:rsid w:val="008D78BB"/>
    <w:rsid w:val="008E5017"/>
    <w:rsid w:val="008F1A1E"/>
    <w:rsid w:val="008F7158"/>
    <w:rsid w:val="00901F5C"/>
    <w:rsid w:val="00934B3F"/>
    <w:rsid w:val="00942517"/>
    <w:rsid w:val="00942F67"/>
    <w:rsid w:val="0096382A"/>
    <w:rsid w:val="009903A6"/>
    <w:rsid w:val="009B7A80"/>
    <w:rsid w:val="009D0C7C"/>
    <w:rsid w:val="009D1C93"/>
    <w:rsid w:val="009E401A"/>
    <w:rsid w:val="00A11C6E"/>
    <w:rsid w:val="00A255AC"/>
    <w:rsid w:val="00A3458E"/>
    <w:rsid w:val="00A43A64"/>
    <w:rsid w:val="00A46EE3"/>
    <w:rsid w:val="00A52EB4"/>
    <w:rsid w:val="00A53085"/>
    <w:rsid w:val="00A60B11"/>
    <w:rsid w:val="00A63BB9"/>
    <w:rsid w:val="00A67FF0"/>
    <w:rsid w:val="00A70717"/>
    <w:rsid w:val="00A836AF"/>
    <w:rsid w:val="00A9293B"/>
    <w:rsid w:val="00AC7B88"/>
    <w:rsid w:val="00AD7BB7"/>
    <w:rsid w:val="00AE125E"/>
    <w:rsid w:val="00AE4CAA"/>
    <w:rsid w:val="00AE6D94"/>
    <w:rsid w:val="00AF4B06"/>
    <w:rsid w:val="00B26A1C"/>
    <w:rsid w:val="00B37C90"/>
    <w:rsid w:val="00B4619F"/>
    <w:rsid w:val="00B461B8"/>
    <w:rsid w:val="00B473B0"/>
    <w:rsid w:val="00B751E5"/>
    <w:rsid w:val="00BA4DE6"/>
    <w:rsid w:val="00BD5ABC"/>
    <w:rsid w:val="00C061D6"/>
    <w:rsid w:val="00C13787"/>
    <w:rsid w:val="00C575EC"/>
    <w:rsid w:val="00C64DA7"/>
    <w:rsid w:val="00CA0B15"/>
    <w:rsid w:val="00CA140F"/>
    <w:rsid w:val="00CA7807"/>
    <w:rsid w:val="00CD0E65"/>
    <w:rsid w:val="00CF13CB"/>
    <w:rsid w:val="00CF308B"/>
    <w:rsid w:val="00CF503C"/>
    <w:rsid w:val="00D0090B"/>
    <w:rsid w:val="00D1669C"/>
    <w:rsid w:val="00D34FC1"/>
    <w:rsid w:val="00D36712"/>
    <w:rsid w:val="00D371A3"/>
    <w:rsid w:val="00D602ED"/>
    <w:rsid w:val="00D63DC1"/>
    <w:rsid w:val="00D725AC"/>
    <w:rsid w:val="00D90C84"/>
    <w:rsid w:val="00D93CFA"/>
    <w:rsid w:val="00DB0E3A"/>
    <w:rsid w:val="00DB2F40"/>
    <w:rsid w:val="00DB49E9"/>
    <w:rsid w:val="00DB6495"/>
    <w:rsid w:val="00DC66B3"/>
    <w:rsid w:val="00DD09D6"/>
    <w:rsid w:val="00DD1E18"/>
    <w:rsid w:val="00DD2344"/>
    <w:rsid w:val="00E1619C"/>
    <w:rsid w:val="00E41012"/>
    <w:rsid w:val="00E57245"/>
    <w:rsid w:val="00E60056"/>
    <w:rsid w:val="00E6350A"/>
    <w:rsid w:val="00E743FA"/>
    <w:rsid w:val="00E7530E"/>
    <w:rsid w:val="00EA2173"/>
    <w:rsid w:val="00EB0F70"/>
    <w:rsid w:val="00F267EC"/>
    <w:rsid w:val="00F3017E"/>
    <w:rsid w:val="00F607A2"/>
    <w:rsid w:val="00F767A1"/>
    <w:rsid w:val="00F90B89"/>
    <w:rsid w:val="00F91424"/>
    <w:rsid w:val="00F977B6"/>
    <w:rsid w:val="00FA7CEB"/>
    <w:rsid w:val="00FB7BCE"/>
    <w:rsid w:val="00FC2331"/>
    <w:rsid w:val="00FD2830"/>
    <w:rsid w:val="00FD3F66"/>
    <w:rsid w:val="00FE5423"/>
    <w:rsid w:val="00FE796F"/>
    <w:rsid w:val="00FF1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AB5"/>
    <w:rPr>
      <w:sz w:val="24"/>
      <w:szCs w:val="24"/>
      <w:lang w:val="en-US"/>
    </w:rPr>
  </w:style>
  <w:style w:type="paragraph" w:styleId="Cmsor1">
    <w:name w:val="heading 1"/>
    <w:basedOn w:val="Norml"/>
    <w:next w:val="Norml"/>
    <w:link w:val="Cmsor1Char"/>
    <w:qFormat/>
    <w:rsid w:val="00EA2173"/>
    <w:pPr>
      <w:keepNext/>
      <w:spacing w:before="240" w:after="60"/>
      <w:outlineLvl w:val="0"/>
    </w:pPr>
    <w:rPr>
      <w:rFonts w:ascii="Arial" w:hAnsi="Arial" w:cs="Arial"/>
      <w:b/>
      <w:bCs/>
      <w:kern w:val="32"/>
      <w:sz w:val="32"/>
      <w:szCs w:val="32"/>
      <w:lang w:val="de-DE" w:eastAsia="de-DE"/>
    </w:rPr>
  </w:style>
  <w:style w:type="paragraph" w:styleId="Cmsor2">
    <w:name w:val="heading 2"/>
    <w:basedOn w:val="Norml"/>
    <w:next w:val="Norml"/>
    <w:link w:val="Cmsor2Char"/>
    <w:qFormat/>
    <w:rsid w:val="00EA217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EA2173"/>
    <w:pPr>
      <w:keepNext/>
      <w:spacing w:before="240" w:after="60" w:line="259" w:lineRule="auto"/>
      <w:outlineLvl w:val="2"/>
    </w:pPr>
    <w:rPr>
      <w:rFonts w:ascii="Arial" w:hAnsi="Arial" w:cs="Arial"/>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link w:val="Stlus2Char"/>
    <w:qFormat/>
    <w:rsid w:val="00EA2173"/>
    <w:rPr>
      <w:lang w:val="hu-HU"/>
    </w:rPr>
  </w:style>
  <w:style w:type="character" w:customStyle="1" w:styleId="Stlus2Char">
    <w:name w:val="Stílus2 Char"/>
    <w:link w:val="Stlus2"/>
    <w:rsid w:val="00EA2173"/>
    <w:rPr>
      <w:sz w:val="24"/>
      <w:szCs w:val="24"/>
    </w:rPr>
  </w:style>
  <w:style w:type="character" w:customStyle="1" w:styleId="Cmsor1Char">
    <w:name w:val="Címsor 1 Char"/>
    <w:link w:val="Cmsor1"/>
    <w:rsid w:val="00EA2173"/>
    <w:rPr>
      <w:rFonts w:ascii="Arial" w:hAnsi="Arial" w:cs="Arial"/>
      <w:b/>
      <w:bCs/>
      <w:kern w:val="32"/>
      <w:sz w:val="32"/>
      <w:szCs w:val="32"/>
      <w:lang w:val="de-DE" w:eastAsia="de-DE"/>
    </w:rPr>
  </w:style>
  <w:style w:type="character" w:customStyle="1" w:styleId="Cmsor2Char">
    <w:name w:val="Címsor 2 Char"/>
    <w:link w:val="Cmsor2"/>
    <w:rsid w:val="00EA2173"/>
    <w:rPr>
      <w:rFonts w:ascii="Arial" w:hAnsi="Arial" w:cs="Arial"/>
      <w:b/>
      <w:bCs/>
      <w:i/>
      <w:iCs/>
      <w:sz w:val="28"/>
      <w:szCs w:val="28"/>
      <w:lang w:val="en-US"/>
    </w:rPr>
  </w:style>
  <w:style w:type="character" w:customStyle="1" w:styleId="Cmsor3Char">
    <w:name w:val="Címsor 3 Char"/>
    <w:link w:val="Cmsor3"/>
    <w:rsid w:val="00EA2173"/>
    <w:rPr>
      <w:rFonts w:ascii="Arial" w:hAnsi="Arial" w:cs="Arial"/>
      <w:b/>
      <w:bCs/>
      <w:sz w:val="26"/>
      <w:szCs w:val="26"/>
    </w:rPr>
  </w:style>
  <w:style w:type="paragraph" w:styleId="TJ1">
    <w:name w:val="toc 1"/>
    <w:basedOn w:val="Norml"/>
    <w:next w:val="Norml"/>
    <w:autoRedefine/>
    <w:uiPriority w:val="39"/>
    <w:semiHidden/>
    <w:unhideWhenUsed/>
    <w:qFormat/>
    <w:rsid w:val="00EA2173"/>
    <w:pPr>
      <w:spacing w:after="100" w:line="276" w:lineRule="auto"/>
    </w:pPr>
    <w:rPr>
      <w:rFonts w:ascii="Calibri" w:hAnsi="Calibri"/>
      <w:sz w:val="22"/>
      <w:szCs w:val="22"/>
      <w:lang w:val="hu-HU" w:eastAsia="hu-HU"/>
    </w:rPr>
  </w:style>
  <w:style w:type="paragraph" w:styleId="TJ2">
    <w:name w:val="toc 2"/>
    <w:basedOn w:val="Norml"/>
    <w:next w:val="Norml"/>
    <w:autoRedefine/>
    <w:uiPriority w:val="39"/>
    <w:semiHidden/>
    <w:unhideWhenUsed/>
    <w:qFormat/>
    <w:rsid w:val="00EA2173"/>
    <w:pPr>
      <w:spacing w:after="100" w:line="276" w:lineRule="auto"/>
      <w:ind w:left="220"/>
    </w:pPr>
    <w:rPr>
      <w:rFonts w:ascii="Calibri" w:hAnsi="Calibri"/>
      <w:sz w:val="22"/>
      <w:szCs w:val="22"/>
      <w:lang w:val="hu-HU" w:eastAsia="hu-HU"/>
    </w:rPr>
  </w:style>
  <w:style w:type="paragraph" w:styleId="TJ3">
    <w:name w:val="toc 3"/>
    <w:basedOn w:val="Norml"/>
    <w:next w:val="Norml"/>
    <w:autoRedefine/>
    <w:uiPriority w:val="39"/>
    <w:semiHidden/>
    <w:unhideWhenUsed/>
    <w:qFormat/>
    <w:rsid w:val="00EA2173"/>
    <w:pPr>
      <w:spacing w:after="100" w:line="276" w:lineRule="auto"/>
      <w:ind w:left="440"/>
    </w:pPr>
    <w:rPr>
      <w:rFonts w:ascii="Calibri" w:hAnsi="Calibri"/>
      <w:sz w:val="22"/>
      <w:szCs w:val="22"/>
      <w:lang w:val="hu-HU" w:eastAsia="hu-HU"/>
    </w:rPr>
  </w:style>
  <w:style w:type="character" w:styleId="Kiemels2">
    <w:name w:val="Strong"/>
    <w:qFormat/>
    <w:rsid w:val="00EA2173"/>
    <w:rPr>
      <w:b/>
      <w:bCs/>
    </w:rPr>
  </w:style>
  <w:style w:type="character" w:styleId="Kiemels">
    <w:name w:val="Emphasis"/>
    <w:uiPriority w:val="20"/>
    <w:qFormat/>
    <w:rsid w:val="00EA2173"/>
    <w:rPr>
      <w:i/>
      <w:iCs/>
    </w:rPr>
  </w:style>
  <w:style w:type="character" w:styleId="Finomkiemels">
    <w:name w:val="Subtle Emphasis"/>
    <w:uiPriority w:val="19"/>
    <w:qFormat/>
    <w:rsid w:val="00EA2173"/>
    <w:rPr>
      <w:i/>
      <w:iCs/>
      <w:color w:val="808080"/>
    </w:rPr>
  </w:style>
  <w:style w:type="paragraph" w:styleId="Tartalomjegyzkcmsora">
    <w:name w:val="TOC Heading"/>
    <w:basedOn w:val="Cmsor1"/>
    <w:next w:val="Norml"/>
    <w:uiPriority w:val="39"/>
    <w:semiHidden/>
    <w:unhideWhenUsed/>
    <w:qFormat/>
    <w:rsid w:val="00EA2173"/>
    <w:pPr>
      <w:keepLines/>
      <w:spacing w:before="480" w:after="0" w:line="276" w:lineRule="auto"/>
      <w:outlineLvl w:val="9"/>
    </w:pPr>
    <w:rPr>
      <w:rFonts w:ascii="Cambria" w:hAnsi="Cambria" w:cs="Times New Roman"/>
      <w:color w:val="365F91"/>
      <w:kern w:val="0"/>
      <w:sz w:val="28"/>
      <w:szCs w:val="28"/>
      <w:lang w:val="hu-HU" w:eastAsia="hu-HU"/>
    </w:rPr>
  </w:style>
  <w:style w:type="character" w:styleId="Hiperhivatkozs">
    <w:name w:val="Hyperlink"/>
    <w:basedOn w:val="Bekezdsalapbettpusa"/>
    <w:uiPriority w:val="99"/>
    <w:unhideWhenUsed/>
    <w:rsid w:val="00507FA4"/>
    <w:rPr>
      <w:color w:val="0000FF" w:themeColor="hyperlink"/>
      <w:u w:val="single"/>
    </w:rPr>
  </w:style>
  <w:style w:type="paragraph" w:styleId="Listaszerbekezds">
    <w:name w:val="List Paragraph"/>
    <w:basedOn w:val="Norml"/>
    <w:uiPriority w:val="34"/>
    <w:qFormat/>
    <w:rsid w:val="00507FA4"/>
    <w:pPr>
      <w:ind w:left="720"/>
      <w:contextualSpacing/>
    </w:pPr>
  </w:style>
  <w:style w:type="paragraph" w:styleId="lfej">
    <w:name w:val="header"/>
    <w:basedOn w:val="Norml"/>
    <w:link w:val="lfejChar"/>
    <w:uiPriority w:val="99"/>
    <w:unhideWhenUsed/>
    <w:rsid w:val="00DB6495"/>
    <w:pPr>
      <w:tabs>
        <w:tab w:val="center" w:pos="4536"/>
        <w:tab w:val="right" w:pos="9072"/>
      </w:tabs>
    </w:pPr>
  </w:style>
  <w:style w:type="character" w:customStyle="1" w:styleId="lfejChar">
    <w:name w:val="Élőfej Char"/>
    <w:basedOn w:val="Bekezdsalapbettpusa"/>
    <w:link w:val="lfej"/>
    <w:uiPriority w:val="99"/>
    <w:rsid w:val="00DB6495"/>
    <w:rPr>
      <w:sz w:val="24"/>
      <w:szCs w:val="24"/>
      <w:lang w:val="en-US"/>
    </w:rPr>
  </w:style>
  <w:style w:type="paragraph" w:styleId="llb">
    <w:name w:val="footer"/>
    <w:basedOn w:val="Norml"/>
    <w:link w:val="llbChar"/>
    <w:uiPriority w:val="99"/>
    <w:unhideWhenUsed/>
    <w:rsid w:val="00DB6495"/>
    <w:pPr>
      <w:tabs>
        <w:tab w:val="center" w:pos="4536"/>
        <w:tab w:val="right" w:pos="9072"/>
      </w:tabs>
    </w:pPr>
  </w:style>
  <w:style w:type="character" w:customStyle="1" w:styleId="llbChar">
    <w:name w:val="Élőláb Char"/>
    <w:basedOn w:val="Bekezdsalapbettpusa"/>
    <w:link w:val="llb"/>
    <w:uiPriority w:val="99"/>
    <w:rsid w:val="00DB6495"/>
    <w:rPr>
      <w:sz w:val="24"/>
      <w:szCs w:val="24"/>
      <w:lang w:val="en-US"/>
    </w:rPr>
  </w:style>
  <w:style w:type="paragraph" w:styleId="Lbjegyzetszveg">
    <w:name w:val="footnote text"/>
    <w:basedOn w:val="Norml"/>
    <w:link w:val="LbjegyzetszvegChar"/>
    <w:uiPriority w:val="99"/>
    <w:semiHidden/>
    <w:unhideWhenUsed/>
    <w:rsid w:val="008F7158"/>
    <w:rPr>
      <w:sz w:val="20"/>
      <w:szCs w:val="20"/>
    </w:rPr>
  </w:style>
  <w:style w:type="character" w:customStyle="1" w:styleId="LbjegyzetszvegChar">
    <w:name w:val="Lábjegyzetszöveg Char"/>
    <w:basedOn w:val="Bekezdsalapbettpusa"/>
    <w:link w:val="Lbjegyzetszveg"/>
    <w:uiPriority w:val="99"/>
    <w:semiHidden/>
    <w:rsid w:val="008F7158"/>
    <w:rPr>
      <w:lang w:val="en-US"/>
    </w:rPr>
  </w:style>
  <w:style w:type="character" w:styleId="Lbjegyzet-hivatkozs">
    <w:name w:val="footnote reference"/>
    <w:basedOn w:val="Bekezdsalapbettpusa"/>
    <w:uiPriority w:val="99"/>
    <w:semiHidden/>
    <w:unhideWhenUsed/>
    <w:rsid w:val="008F7158"/>
    <w:rPr>
      <w:vertAlign w:val="superscript"/>
    </w:rPr>
  </w:style>
  <w:style w:type="paragraph" w:styleId="Nincstrkz">
    <w:name w:val="No Spacing"/>
    <w:qFormat/>
    <w:rsid w:val="00682967"/>
    <w:pPr>
      <w:suppressAutoHyphens/>
    </w:pPr>
    <w:rPr>
      <w:rFonts w:ascii="Arial" w:eastAsia="Calibri" w:hAnsi="Arial" w:cs="Arial"/>
      <w:sz w:val="24"/>
      <w:szCs w:val="22"/>
      <w:lang w:eastAsia="zh-CN"/>
    </w:rPr>
  </w:style>
  <w:style w:type="table" w:styleId="Rcsostblzat">
    <w:name w:val="Table Grid"/>
    <w:basedOn w:val="Normltblzat"/>
    <w:uiPriority w:val="59"/>
    <w:rsid w:val="00F7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67A1"/>
    <w:rPr>
      <w:color w:val="800080" w:themeColor="followedHyperlink"/>
      <w:u w:val="single"/>
    </w:rPr>
  </w:style>
  <w:style w:type="character" w:customStyle="1" w:styleId="sb8d990e2">
    <w:name w:val="sb8d990e2"/>
    <w:basedOn w:val="Bekezdsalapbettpusa"/>
    <w:rsid w:val="00FA7CEB"/>
  </w:style>
  <w:style w:type="character" w:customStyle="1" w:styleId="apple-converted-space">
    <w:name w:val="apple-converted-space"/>
    <w:basedOn w:val="Bekezdsalapbettpusa"/>
    <w:rsid w:val="00FA7CEB"/>
  </w:style>
  <w:style w:type="paragraph" w:styleId="Jegyzetszveg">
    <w:name w:val="annotation text"/>
    <w:basedOn w:val="Norml"/>
    <w:link w:val="JegyzetszvegChar"/>
    <w:uiPriority w:val="99"/>
    <w:semiHidden/>
    <w:unhideWhenUsed/>
    <w:rsid w:val="002D02C2"/>
    <w:rPr>
      <w:rFonts w:ascii="Times Roman" w:eastAsia="Arial Unicode MS" w:hAnsi="Arial Unicode MS" w:cs="Arial Unicode MS"/>
      <w:color w:val="000000"/>
      <w:sz w:val="20"/>
      <w:szCs w:val="20"/>
      <w:u w:color="000000"/>
    </w:rPr>
  </w:style>
  <w:style w:type="character" w:customStyle="1" w:styleId="JegyzetszvegChar">
    <w:name w:val="Jegyzetszöveg Char"/>
    <w:basedOn w:val="Bekezdsalapbettpusa"/>
    <w:link w:val="Jegyzetszveg"/>
    <w:uiPriority w:val="99"/>
    <w:semiHidden/>
    <w:rsid w:val="002D02C2"/>
    <w:rPr>
      <w:rFonts w:ascii="Times Roman" w:eastAsia="Arial Unicode MS" w:hAnsi="Arial Unicode MS" w:cs="Arial Unicode MS"/>
      <w:color w:val="000000"/>
      <w:u w:color="000000"/>
      <w:lang w:val="en-US"/>
    </w:rPr>
  </w:style>
  <w:style w:type="character" w:styleId="Jegyzethivatkozs">
    <w:name w:val="annotation reference"/>
    <w:uiPriority w:val="99"/>
    <w:semiHidden/>
    <w:unhideWhenUsed/>
    <w:rsid w:val="002D02C2"/>
    <w:rPr>
      <w:sz w:val="16"/>
      <w:szCs w:val="16"/>
    </w:rPr>
  </w:style>
  <w:style w:type="paragraph" w:styleId="Megjegyzstrgya">
    <w:name w:val="annotation subject"/>
    <w:basedOn w:val="Jegyzetszveg"/>
    <w:next w:val="Jegyzetszveg"/>
    <w:link w:val="MegjegyzstrgyaChar"/>
    <w:uiPriority w:val="99"/>
    <w:semiHidden/>
    <w:unhideWhenUsed/>
    <w:rsid w:val="00DB49E9"/>
    <w:rPr>
      <w:rFonts w:ascii="Times New Roman" w:eastAsia="Times New Roman" w:hAnsi="Times New Roman" w:cs="Times New Roman"/>
      <w:b/>
      <w:bCs/>
      <w:color w:val="auto"/>
    </w:rPr>
  </w:style>
  <w:style w:type="character" w:customStyle="1" w:styleId="MegjegyzstrgyaChar">
    <w:name w:val="Megjegyzés tárgya Char"/>
    <w:basedOn w:val="JegyzetszvegChar"/>
    <w:link w:val="Megjegyzstrgya"/>
    <w:uiPriority w:val="99"/>
    <w:semiHidden/>
    <w:rsid w:val="00DB49E9"/>
    <w:rPr>
      <w:rFonts w:ascii="Times Roman" w:eastAsia="Arial Unicode MS" w:hAnsi="Arial Unicode MS" w:cs="Arial Unicode MS"/>
      <w:b/>
      <w:bCs/>
      <w:color w:val="000000"/>
      <w:u w:color="000000"/>
      <w:lang w:val="en-US"/>
    </w:rPr>
  </w:style>
  <w:style w:type="paragraph" w:styleId="Buborkszveg">
    <w:name w:val="Balloon Text"/>
    <w:basedOn w:val="Norml"/>
    <w:link w:val="BuborkszvegChar"/>
    <w:uiPriority w:val="99"/>
    <w:semiHidden/>
    <w:unhideWhenUsed/>
    <w:rsid w:val="00DB49E9"/>
    <w:rPr>
      <w:rFonts w:ascii="Tahoma" w:hAnsi="Tahoma" w:cs="Tahoma"/>
      <w:sz w:val="16"/>
      <w:szCs w:val="16"/>
    </w:rPr>
  </w:style>
  <w:style w:type="character" w:customStyle="1" w:styleId="BuborkszvegChar">
    <w:name w:val="Buborékszöveg Char"/>
    <w:basedOn w:val="Bekezdsalapbettpusa"/>
    <w:link w:val="Buborkszveg"/>
    <w:uiPriority w:val="99"/>
    <w:semiHidden/>
    <w:rsid w:val="00DB49E9"/>
    <w:rPr>
      <w:rFonts w:ascii="Tahoma" w:hAnsi="Tahoma" w:cs="Tahoma"/>
      <w:sz w:val="16"/>
      <w:szCs w:val="16"/>
      <w:lang w:val="en-US"/>
    </w:rPr>
  </w:style>
  <w:style w:type="paragraph" w:styleId="Vgjegyzetszvege">
    <w:name w:val="endnote text"/>
    <w:basedOn w:val="Norml"/>
    <w:link w:val="VgjegyzetszvegeChar"/>
    <w:uiPriority w:val="99"/>
    <w:semiHidden/>
    <w:unhideWhenUsed/>
    <w:rsid w:val="00510483"/>
    <w:rPr>
      <w:sz w:val="20"/>
      <w:szCs w:val="20"/>
    </w:rPr>
  </w:style>
  <w:style w:type="character" w:customStyle="1" w:styleId="VgjegyzetszvegeChar">
    <w:name w:val="Végjegyzet szövege Char"/>
    <w:basedOn w:val="Bekezdsalapbettpusa"/>
    <w:link w:val="Vgjegyzetszvege"/>
    <w:uiPriority w:val="99"/>
    <w:semiHidden/>
    <w:rsid w:val="00510483"/>
    <w:rPr>
      <w:lang w:val="en-US"/>
    </w:rPr>
  </w:style>
  <w:style w:type="character" w:styleId="Vgjegyzet-hivatkozs">
    <w:name w:val="endnote reference"/>
    <w:semiHidden/>
    <w:rsid w:val="00510483"/>
    <w:rPr>
      <w:rFonts w:ascii="Times New Roman" w:hAnsi="Times New Roman"/>
      <w:b/>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AB5"/>
    <w:rPr>
      <w:sz w:val="24"/>
      <w:szCs w:val="24"/>
      <w:lang w:val="en-US"/>
    </w:rPr>
  </w:style>
  <w:style w:type="paragraph" w:styleId="Cmsor1">
    <w:name w:val="heading 1"/>
    <w:basedOn w:val="Norml"/>
    <w:next w:val="Norml"/>
    <w:link w:val="Cmsor1Char"/>
    <w:qFormat/>
    <w:rsid w:val="00EA2173"/>
    <w:pPr>
      <w:keepNext/>
      <w:spacing w:before="240" w:after="60"/>
      <w:outlineLvl w:val="0"/>
    </w:pPr>
    <w:rPr>
      <w:rFonts w:ascii="Arial" w:hAnsi="Arial" w:cs="Arial"/>
      <w:b/>
      <w:bCs/>
      <w:kern w:val="32"/>
      <w:sz w:val="32"/>
      <w:szCs w:val="32"/>
      <w:lang w:val="de-DE" w:eastAsia="de-DE"/>
    </w:rPr>
  </w:style>
  <w:style w:type="paragraph" w:styleId="Cmsor2">
    <w:name w:val="heading 2"/>
    <w:basedOn w:val="Norml"/>
    <w:next w:val="Norml"/>
    <w:link w:val="Cmsor2Char"/>
    <w:qFormat/>
    <w:rsid w:val="00EA217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EA2173"/>
    <w:pPr>
      <w:keepNext/>
      <w:spacing w:before="240" w:after="60" w:line="259" w:lineRule="auto"/>
      <w:outlineLvl w:val="2"/>
    </w:pPr>
    <w:rPr>
      <w:rFonts w:ascii="Arial" w:hAnsi="Arial" w:cs="Arial"/>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link w:val="Stlus2Char"/>
    <w:qFormat/>
    <w:rsid w:val="00EA2173"/>
    <w:rPr>
      <w:lang w:val="hu-HU"/>
    </w:rPr>
  </w:style>
  <w:style w:type="character" w:customStyle="1" w:styleId="Stlus2Char">
    <w:name w:val="Stílus2 Char"/>
    <w:link w:val="Stlus2"/>
    <w:rsid w:val="00EA2173"/>
    <w:rPr>
      <w:sz w:val="24"/>
      <w:szCs w:val="24"/>
    </w:rPr>
  </w:style>
  <w:style w:type="character" w:customStyle="1" w:styleId="Cmsor1Char">
    <w:name w:val="Címsor 1 Char"/>
    <w:link w:val="Cmsor1"/>
    <w:rsid w:val="00EA2173"/>
    <w:rPr>
      <w:rFonts w:ascii="Arial" w:hAnsi="Arial" w:cs="Arial"/>
      <w:b/>
      <w:bCs/>
      <w:kern w:val="32"/>
      <w:sz w:val="32"/>
      <w:szCs w:val="32"/>
      <w:lang w:val="de-DE" w:eastAsia="de-DE"/>
    </w:rPr>
  </w:style>
  <w:style w:type="character" w:customStyle="1" w:styleId="Cmsor2Char">
    <w:name w:val="Címsor 2 Char"/>
    <w:link w:val="Cmsor2"/>
    <w:rsid w:val="00EA2173"/>
    <w:rPr>
      <w:rFonts w:ascii="Arial" w:hAnsi="Arial" w:cs="Arial"/>
      <w:b/>
      <w:bCs/>
      <w:i/>
      <w:iCs/>
      <w:sz w:val="28"/>
      <w:szCs w:val="28"/>
      <w:lang w:val="en-US"/>
    </w:rPr>
  </w:style>
  <w:style w:type="character" w:customStyle="1" w:styleId="Cmsor3Char">
    <w:name w:val="Címsor 3 Char"/>
    <w:link w:val="Cmsor3"/>
    <w:rsid w:val="00EA2173"/>
    <w:rPr>
      <w:rFonts w:ascii="Arial" w:hAnsi="Arial" w:cs="Arial"/>
      <w:b/>
      <w:bCs/>
      <w:sz w:val="26"/>
      <w:szCs w:val="26"/>
    </w:rPr>
  </w:style>
  <w:style w:type="paragraph" w:styleId="TJ1">
    <w:name w:val="toc 1"/>
    <w:basedOn w:val="Norml"/>
    <w:next w:val="Norml"/>
    <w:autoRedefine/>
    <w:uiPriority w:val="39"/>
    <w:semiHidden/>
    <w:unhideWhenUsed/>
    <w:qFormat/>
    <w:rsid w:val="00EA2173"/>
    <w:pPr>
      <w:spacing w:after="100" w:line="276" w:lineRule="auto"/>
    </w:pPr>
    <w:rPr>
      <w:rFonts w:ascii="Calibri" w:hAnsi="Calibri"/>
      <w:sz w:val="22"/>
      <w:szCs w:val="22"/>
      <w:lang w:val="hu-HU" w:eastAsia="hu-HU"/>
    </w:rPr>
  </w:style>
  <w:style w:type="paragraph" w:styleId="TJ2">
    <w:name w:val="toc 2"/>
    <w:basedOn w:val="Norml"/>
    <w:next w:val="Norml"/>
    <w:autoRedefine/>
    <w:uiPriority w:val="39"/>
    <w:semiHidden/>
    <w:unhideWhenUsed/>
    <w:qFormat/>
    <w:rsid w:val="00EA2173"/>
    <w:pPr>
      <w:spacing w:after="100" w:line="276" w:lineRule="auto"/>
      <w:ind w:left="220"/>
    </w:pPr>
    <w:rPr>
      <w:rFonts w:ascii="Calibri" w:hAnsi="Calibri"/>
      <w:sz w:val="22"/>
      <w:szCs w:val="22"/>
      <w:lang w:val="hu-HU" w:eastAsia="hu-HU"/>
    </w:rPr>
  </w:style>
  <w:style w:type="paragraph" w:styleId="TJ3">
    <w:name w:val="toc 3"/>
    <w:basedOn w:val="Norml"/>
    <w:next w:val="Norml"/>
    <w:autoRedefine/>
    <w:uiPriority w:val="39"/>
    <w:semiHidden/>
    <w:unhideWhenUsed/>
    <w:qFormat/>
    <w:rsid w:val="00EA2173"/>
    <w:pPr>
      <w:spacing w:after="100" w:line="276" w:lineRule="auto"/>
      <w:ind w:left="440"/>
    </w:pPr>
    <w:rPr>
      <w:rFonts w:ascii="Calibri" w:hAnsi="Calibri"/>
      <w:sz w:val="22"/>
      <w:szCs w:val="22"/>
      <w:lang w:val="hu-HU" w:eastAsia="hu-HU"/>
    </w:rPr>
  </w:style>
  <w:style w:type="character" w:styleId="Kiemels2">
    <w:name w:val="Strong"/>
    <w:qFormat/>
    <w:rsid w:val="00EA2173"/>
    <w:rPr>
      <w:b/>
      <w:bCs/>
    </w:rPr>
  </w:style>
  <w:style w:type="character" w:styleId="Kiemels">
    <w:name w:val="Emphasis"/>
    <w:uiPriority w:val="20"/>
    <w:qFormat/>
    <w:rsid w:val="00EA2173"/>
    <w:rPr>
      <w:i/>
      <w:iCs/>
    </w:rPr>
  </w:style>
  <w:style w:type="character" w:styleId="Finomkiemels">
    <w:name w:val="Subtle Emphasis"/>
    <w:uiPriority w:val="19"/>
    <w:qFormat/>
    <w:rsid w:val="00EA2173"/>
    <w:rPr>
      <w:i/>
      <w:iCs/>
      <w:color w:val="808080"/>
    </w:rPr>
  </w:style>
  <w:style w:type="paragraph" w:styleId="Tartalomjegyzkcmsora">
    <w:name w:val="TOC Heading"/>
    <w:basedOn w:val="Cmsor1"/>
    <w:next w:val="Norml"/>
    <w:uiPriority w:val="39"/>
    <w:semiHidden/>
    <w:unhideWhenUsed/>
    <w:qFormat/>
    <w:rsid w:val="00EA2173"/>
    <w:pPr>
      <w:keepLines/>
      <w:spacing w:before="480" w:after="0" w:line="276" w:lineRule="auto"/>
      <w:outlineLvl w:val="9"/>
    </w:pPr>
    <w:rPr>
      <w:rFonts w:ascii="Cambria" w:hAnsi="Cambria" w:cs="Times New Roman"/>
      <w:color w:val="365F91"/>
      <w:kern w:val="0"/>
      <w:sz w:val="28"/>
      <w:szCs w:val="28"/>
      <w:lang w:val="hu-HU" w:eastAsia="hu-HU"/>
    </w:rPr>
  </w:style>
  <w:style w:type="character" w:styleId="Hiperhivatkozs">
    <w:name w:val="Hyperlink"/>
    <w:basedOn w:val="Bekezdsalapbettpusa"/>
    <w:uiPriority w:val="99"/>
    <w:unhideWhenUsed/>
    <w:rsid w:val="00507FA4"/>
    <w:rPr>
      <w:color w:val="0000FF" w:themeColor="hyperlink"/>
      <w:u w:val="single"/>
    </w:rPr>
  </w:style>
  <w:style w:type="paragraph" w:styleId="Listaszerbekezds">
    <w:name w:val="List Paragraph"/>
    <w:basedOn w:val="Norml"/>
    <w:uiPriority w:val="34"/>
    <w:qFormat/>
    <w:rsid w:val="00507FA4"/>
    <w:pPr>
      <w:ind w:left="720"/>
      <w:contextualSpacing/>
    </w:pPr>
  </w:style>
  <w:style w:type="paragraph" w:styleId="lfej">
    <w:name w:val="header"/>
    <w:basedOn w:val="Norml"/>
    <w:link w:val="lfejChar"/>
    <w:uiPriority w:val="99"/>
    <w:unhideWhenUsed/>
    <w:rsid w:val="00DB6495"/>
    <w:pPr>
      <w:tabs>
        <w:tab w:val="center" w:pos="4536"/>
        <w:tab w:val="right" w:pos="9072"/>
      </w:tabs>
    </w:pPr>
  </w:style>
  <w:style w:type="character" w:customStyle="1" w:styleId="lfejChar">
    <w:name w:val="Élőfej Char"/>
    <w:basedOn w:val="Bekezdsalapbettpusa"/>
    <w:link w:val="lfej"/>
    <w:uiPriority w:val="99"/>
    <w:rsid w:val="00DB6495"/>
    <w:rPr>
      <w:sz w:val="24"/>
      <w:szCs w:val="24"/>
      <w:lang w:val="en-US"/>
    </w:rPr>
  </w:style>
  <w:style w:type="paragraph" w:styleId="llb">
    <w:name w:val="footer"/>
    <w:basedOn w:val="Norml"/>
    <w:link w:val="llbChar"/>
    <w:uiPriority w:val="99"/>
    <w:unhideWhenUsed/>
    <w:rsid w:val="00DB6495"/>
    <w:pPr>
      <w:tabs>
        <w:tab w:val="center" w:pos="4536"/>
        <w:tab w:val="right" w:pos="9072"/>
      </w:tabs>
    </w:pPr>
  </w:style>
  <w:style w:type="character" w:customStyle="1" w:styleId="llbChar">
    <w:name w:val="Élőláb Char"/>
    <w:basedOn w:val="Bekezdsalapbettpusa"/>
    <w:link w:val="llb"/>
    <w:uiPriority w:val="99"/>
    <w:rsid w:val="00DB6495"/>
    <w:rPr>
      <w:sz w:val="24"/>
      <w:szCs w:val="24"/>
      <w:lang w:val="en-US"/>
    </w:rPr>
  </w:style>
  <w:style w:type="paragraph" w:styleId="Lbjegyzetszveg">
    <w:name w:val="footnote text"/>
    <w:basedOn w:val="Norml"/>
    <w:link w:val="LbjegyzetszvegChar"/>
    <w:uiPriority w:val="99"/>
    <w:semiHidden/>
    <w:unhideWhenUsed/>
    <w:rsid w:val="008F7158"/>
    <w:rPr>
      <w:sz w:val="20"/>
      <w:szCs w:val="20"/>
    </w:rPr>
  </w:style>
  <w:style w:type="character" w:customStyle="1" w:styleId="LbjegyzetszvegChar">
    <w:name w:val="Lábjegyzetszöveg Char"/>
    <w:basedOn w:val="Bekezdsalapbettpusa"/>
    <w:link w:val="Lbjegyzetszveg"/>
    <w:uiPriority w:val="99"/>
    <w:semiHidden/>
    <w:rsid w:val="008F7158"/>
    <w:rPr>
      <w:lang w:val="en-US"/>
    </w:rPr>
  </w:style>
  <w:style w:type="character" w:styleId="Lbjegyzet-hivatkozs">
    <w:name w:val="footnote reference"/>
    <w:basedOn w:val="Bekezdsalapbettpusa"/>
    <w:uiPriority w:val="99"/>
    <w:semiHidden/>
    <w:unhideWhenUsed/>
    <w:rsid w:val="008F7158"/>
    <w:rPr>
      <w:vertAlign w:val="superscript"/>
    </w:rPr>
  </w:style>
  <w:style w:type="paragraph" w:styleId="Nincstrkz">
    <w:name w:val="No Spacing"/>
    <w:qFormat/>
    <w:rsid w:val="00682967"/>
    <w:pPr>
      <w:suppressAutoHyphens/>
    </w:pPr>
    <w:rPr>
      <w:rFonts w:ascii="Arial" w:eastAsia="Calibri" w:hAnsi="Arial" w:cs="Arial"/>
      <w:sz w:val="24"/>
      <w:szCs w:val="22"/>
      <w:lang w:eastAsia="zh-CN"/>
    </w:rPr>
  </w:style>
  <w:style w:type="table" w:styleId="Rcsostblzat">
    <w:name w:val="Table Grid"/>
    <w:basedOn w:val="Normltblzat"/>
    <w:uiPriority w:val="59"/>
    <w:rsid w:val="00F7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67A1"/>
    <w:rPr>
      <w:color w:val="800080" w:themeColor="followedHyperlink"/>
      <w:u w:val="single"/>
    </w:rPr>
  </w:style>
  <w:style w:type="character" w:customStyle="1" w:styleId="sb8d990e2">
    <w:name w:val="sb8d990e2"/>
    <w:basedOn w:val="Bekezdsalapbettpusa"/>
    <w:rsid w:val="00FA7CEB"/>
  </w:style>
  <w:style w:type="character" w:customStyle="1" w:styleId="apple-converted-space">
    <w:name w:val="apple-converted-space"/>
    <w:basedOn w:val="Bekezdsalapbettpusa"/>
    <w:rsid w:val="00FA7CEB"/>
  </w:style>
  <w:style w:type="paragraph" w:styleId="Jegyzetszveg">
    <w:name w:val="annotation text"/>
    <w:basedOn w:val="Norml"/>
    <w:link w:val="JegyzetszvegChar"/>
    <w:uiPriority w:val="99"/>
    <w:semiHidden/>
    <w:unhideWhenUsed/>
    <w:rsid w:val="002D02C2"/>
    <w:rPr>
      <w:rFonts w:ascii="Times Roman" w:eastAsia="Arial Unicode MS" w:hAnsi="Arial Unicode MS" w:cs="Arial Unicode MS"/>
      <w:color w:val="000000"/>
      <w:sz w:val="20"/>
      <w:szCs w:val="20"/>
      <w:u w:color="000000"/>
    </w:rPr>
  </w:style>
  <w:style w:type="character" w:customStyle="1" w:styleId="JegyzetszvegChar">
    <w:name w:val="Jegyzetszöveg Char"/>
    <w:basedOn w:val="Bekezdsalapbettpusa"/>
    <w:link w:val="Jegyzetszveg"/>
    <w:uiPriority w:val="99"/>
    <w:semiHidden/>
    <w:rsid w:val="002D02C2"/>
    <w:rPr>
      <w:rFonts w:ascii="Times Roman" w:eastAsia="Arial Unicode MS" w:hAnsi="Arial Unicode MS" w:cs="Arial Unicode MS"/>
      <w:color w:val="000000"/>
      <w:u w:color="000000"/>
      <w:lang w:val="en-US"/>
    </w:rPr>
  </w:style>
  <w:style w:type="character" w:styleId="Jegyzethivatkozs">
    <w:name w:val="annotation reference"/>
    <w:uiPriority w:val="99"/>
    <w:semiHidden/>
    <w:unhideWhenUsed/>
    <w:rsid w:val="002D02C2"/>
    <w:rPr>
      <w:sz w:val="16"/>
      <w:szCs w:val="16"/>
    </w:rPr>
  </w:style>
  <w:style w:type="paragraph" w:styleId="Megjegyzstrgya">
    <w:name w:val="annotation subject"/>
    <w:basedOn w:val="Jegyzetszveg"/>
    <w:next w:val="Jegyzetszveg"/>
    <w:link w:val="MegjegyzstrgyaChar"/>
    <w:uiPriority w:val="99"/>
    <w:semiHidden/>
    <w:unhideWhenUsed/>
    <w:rsid w:val="00DB49E9"/>
    <w:rPr>
      <w:rFonts w:ascii="Times New Roman" w:eastAsia="Times New Roman" w:hAnsi="Times New Roman" w:cs="Times New Roman"/>
      <w:b/>
      <w:bCs/>
      <w:color w:val="auto"/>
    </w:rPr>
  </w:style>
  <w:style w:type="character" w:customStyle="1" w:styleId="MegjegyzstrgyaChar">
    <w:name w:val="Megjegyzés tárgya Char"/>
    <w:basedOn w:val="JegyzetszvegChar"/>
    <w:link w:val="Megjegyzstrgya"/>
    <w:uiPriority w:val="99"/>
    <w:semiHidden/>
    <w:rsid w:val="00DB49E9"/>
    <w:rPr>
      <w:rFonts w:ascii="Times Roman" w:eastAsia="Arial Unicode MS" w:hAnsi="Arial Unicode MS" w:cs="Arial Unicode MS"/>
      <w:b/>
      <w:bCs/>
      <w:color w:val="000000"/>
      <w:u w:color="000000"/>
      <w:lang w:val="en-US"/>
    </w:rPr>
  </w:style>
  <w:style w:type="paragraph" w:styleId="Buborkszveg">
    <w:name w:val="Balloon Text"/>
    <w:basedOn w:val="Norml"/>
    <w:link w:val="BuborkszvegChar"/>
    <w:uiPriority w:val="99"/>
    <w:semiHidden/>
    <w:unhideWhenUsed/>
    <w:rsid w:val="00DB49E9"/>
    <w:rPr>
      <w:rFonts w:ascii="Tahoma" w:hAnsi="Tahoma" w:cs="Tahoma"/>
      <w:sz w:val="16"/>
      <w:szCs w:val="16"/>
    </w:rPr>
  </w:style>
  <w:style w:type="character" w:customStyle="1" w:styleId="BuborkszvegChar">
    <w:name w:val="Buborékszöveg Char"/>
    <w:basedOn w:val="Bekezdsalapbettpusa"/>
    <w:link w:val="Buborkszveg"/>
    <w:uiPriority w:val="99"/>
    <w:semiHidden/>
    <w:rsid w:val="00DB49E9"/>
    <w:rPr>
      <w:rFonts w:ascii="Tahoma" w:hAnsi="Tahoma" w:cs="Tahoma"/>
      <w:sz w:val="16"/>
      <w:szCs w:val="16"/>
      <w:lang w:val="en-US"/>
    </w:rPr>
  </w:style>
  <w:style w:type="paragraph" w:styleId="Vgjegyzetszvege">
    <w:name w:val="endnote text"/>
    <w:basedOn w:val="Norml"/>
    <w:link w:val="VgjegyzetszvegeChar"/>
    <w:uiPriority w:val="99"/>
    <w:semiHidden/>
    <w:unhideWhenUsed/>
    <w:rsid w:val="00510483"/>
    <w:rPr>
      <w:sz w:val="20"/>
      <w:szCs w:val="20"/>
    </w:rPr>
  </w:style>
  <w:style w:type="character" w:customStyle="1" w:styleId="VgjegyzetszvegeChar">
    <w:name w:val="Végjegyzet szövege Char"/>
    <w:basedOn w:val="Bekezdsalapbettpusa"/>
    <w:link w:val="Vgjegyzetszvege"/>
    <w:uiPriority w:val="99"/>
    <w:semiHidden/>
    <w:rsid w:val="00510483"/>
    <w:rPr>
      <w:lang w:val="en-US"/>
    </w:rPr>
  </w:style>
  <w:style w:type="character" w:styleId="Vgjegyzet-hivatkozs">
    <w:name w:val="endnote reference"/>
    <w:semiHidden/>
    <w:rsid w:val="00510483"/>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038">
      <w:bodyDiv w:val="1"/>
      <w:marLeft w:val="0"/>
      <w:marRight w:val="0"/>
      <w:marTop w:val="0"/>
      <w:marBottom w:val="0"/>
      <w:divBdr>
        <w:top w:val="none" w:sz="0" w:space="0" w:color="auto"/>
        <w:left w:val="none" w:sz="0" w:space="0" w:color="auto"/>
        <w:bottom w:val="none" w:sz="0" w:space="0" w:color="auto"/>
        <w:right w:val="none" w:sz="0" w:space="0" w:color="auto"/>
      </w:divBdr>
    </w:div>
    <w:div w:id="228735377">
      <w:bodyDiv w:val="1"/>
      <w:marLeft w:val="0"/>
      <w:marRight w:val="0"/>
      <w:marTop w:val="0"/>
      <w:marBottom w:val="0"/>
      <w:divBdr>
        <w:top w:val="none" w:sz="0" w:space="0" w:color="auto"/>
        <w:left w:val="none" w:sz="0" w:space="0" w:color="auto"/>
        <w:bottom w:val="none" w:sz="0" w:space="0" w:color="auto"/>
        <w:right w:val="none" w:sz="0" w:space="0" w:color="auto"/>
      </w:divBdr>
    </w:div>
    <w:div w:id="450591371">
      <w:bodyDiv w:val="1"/>
      <w:marLeft w:val="0"/>
      <w:marRight w:val="0"/>
      <w:marTop w:val="0"/>
      <w:marBottom w:val="0"/>
      <w:divBdr>
        <w:top w:val="none" w:sz="0" w:space="0" w:color="auto"/>
        <w:left w:val="none" w:sz="0" w:space="0" w:color="auto"/>
        <w:bottom w:val="none" w:sz="0" w:space="0" w:color="auto"/>
        <w:right w:val="none" w:sz="0" w:space="0" w:color="auto"/>
      </w:divBdr>
    </w:div>
    <w:div w:id="525337047">
      <w:bodyDiv w:val="1"/>
      <w:marLeft w:val="0"/>
      <w:marRight w:val="0"/>
      <w:marTop w:val="0"/>
      <w:marBottom w:val="0"/>
      <w:divBdr>
        <w:top w:val="none" w:sz="0" w:space="0" w:color="auto"/>
        <w:left w:val="none" w:sz="0" w:space="0" w:color="auto"/>
        <w:bottom w:val="none" w:sz="0" w:space="0" w:color="auto"/>
        <w:right w:val="none" w:sz="0" w:space="0" w:color="auto"/>
      </w:divBdr>
    </w:div>
    <w:div w:id="573316191">
      <w:bodyDiv w:val="1"/>
      <w:marLeft w:val="0"/>
      <w:marRight w:val="0"/>
      <w:marTop w:val="0"/>
      <w:marBottom w:val="0"/>
      <w:divBdr>
        <w:top w:val="none" w:sz="0" w:space="0" w:color="auto"/>
        <w:left w:val="none" w:sz="0" w:space="0" w:color="auto"/>
        <w:bottom w:val="none" w:sz="0" w:space="0" w:color="auto"/>
        <w:right w:val="none" w:sz="0" w:space="0" w:color="auto"/>
      </w:divBdr>
    </w:div>
    <w:div w:id="644942247">
      <w:bodyDiv w:val="1"/>
      <w:marLeft w:val="0"/>
      <w:marRight w:val="0"/>
      <w:marTop w:val="0"/>
      <w:marBottom w:val="0"/>
      <w:divBdr>
        <w:top w:val="none" w:sz="0" w:space="0" w:color="auto"/>
        <w:left w:val="none" w:sz="0" w:space="0" w:color="auto"/>
        <w:bottom w:val="none" w:sz="0" w:space="0" w:color="auto"/>
        <w:right w:val="none" w:sz="0" w:space="0" w:color="auto"/>
      </w:divBdr>
    </w:div>
    <w:div w:id="848132922">
      <w:bodyDiv w:val="1"/>
      <w:marLeft w:val="0"/>
      <w:marRight w:val="0"/>
      <w:marTop w:val="0"/>
      <w:marBottom w:val="0"/>
      <w:divBdr>
        <w:top w:val="none" w:sz="0" w:space="0" w:color="auto"/>
        <w:left w:val="none" w:sz="0" w:space="0" w:color="auto"/>
        <w:bottom w:val="none" w:sz="0" w:space="0" w:color="auto"/>
        <w:right w:val="none" w:sz="0" w:space="0" w:color="auto"/>
      </w:divBdr>
    </w:div>
    <w:div w:id="877817902">
      <w:bodyDiv w:val="1"/>
      <w:marLeft w:val="0"/>
      <w:marRight w:val="0"/>
      <w:marTop w:val="0"/>
      <w:marBottom w:val="0"/>
      <w:divBdr>
        <w:top w:val="none" w:sz="0" w:space="0" w:color="auto"/>
        <w:left w:val="none" w:sz="0" w:space="0" w:color="auto"/>
        <w:bottom w:val="none" w:sz="0" w:space="0" w:color="auto"/>
        <w:right w:val="none" w:sz="0" w:space="0" w:color="auto"/>
      </w:divBdr>
    </w:div>
    <w:div w:id="975722200">
      <w:bodyDiv w:val="1"/>
      <w:marLeft w:val="0"/>
      <w:marRight w:val="0"/>
      <w:marTop w:val="0"/>
      <w:marBottom w:val="0"/>
      <w:divBdr>
        <w:top w:val="none" w:sz="0" w:space="0" w:color="auto"/>
        <w:left w:val="none" w:sz="0" w:space="0" w:color="auto"/>
        <w:bottom w:val="none" w:sz="0" w:space="0" w:color="auto"/>
        <w:right w:val="none" w:sz="0" w:space="0" w:color="auto"/>
      </w:divBdr>
    </w:div>
    <w:div w:id="1012102711">
      <w:bodyDiv w:val="1"/>
      <w:marLeft w:val="0"/>
      <w:marRight w:val="0"/>
      <w:marTop w:val="0"/>
      <w:marBottom w:val="0"/>
      <w:divBdr>
        <w:top w:val="none" w:sz="0" w:space="0" w:color="auto"/>
        <w:left w:val="none" w:sz="0" w:space="0" w:color="auto"/>
        <w:bottom w:val="none" w:sz="0" w:space="0" w:color="auto"/>
        <w:right w:val="none" w:sz="0" w:space="0" w:color="auto"/>
      </w:divBdr>
    </w:div>
    <w:div w:id="1055545185">
      <w:bodyDiv w:val="1"/>
      <w:marLeft w:val="0"/>
      <w:marRight w:val="0"/>
      <w:marTop w:val="0"/>
      <w:marBottom w:val="0"/>
      <w:divBdr>
        <w:top w:val="none" w:sz="0" w:space="0" w:color="auto"/>
        <w:left w:val="none" w:sz="0" w:space="0" w:color="auto"/>
        <w:bottom w:val="none" w:sz="0" w:space="0" w:color="auto"/>
        <w:right w:val="none" w:sz="0" w:space="0" w:color="auto"/>
      </w:divBdr>
    </w:div>
    <w:div w:id="1063219514">
      <w:bodyDiv w:val="1"/>
      <w:marLeft w:val="0"/>
      <w:marRight w:val="0"/>
      <w:marTop w:val="0"/>
      <w:marBottom w:val="0"/>
      <w:divBdr>
        <w:top w:val="none" w:sz="0" w:space="0" w:color="auto"/>
        <w:left w:val="none" w:sz="0" w:space="0" w:color="auto"/>
        <w:bottom w:val="none" w:sz="0" w:space="0" w:color="auto"/>
        <w:right w:val="none" w:sz="0" w:space="0" w:color="auto"/>
      </w:divBdr>
    </w:div>
    <w:div w:id="1196650511">
      <w:bodyDiv w:val="1"/>
      <w:marLeft w:val="0"/>
      <w:marRight w:val="0"/>
      <w:marTop w:val="0"/>
      <w:marBottom w:val="0"/>
      <w:divBdr>
        <w:top w:val="none" w:sz="0" w:space="0" w:color="auto"/>
        <w:left w:val="none" w:sz="0" w:space="0" w:color="auto"/>
        <w:bottom w:val="none" w:sz="0" w:space="0" w:color="auto"/>
        <w:right w:val="none" w:sz="0" w:space="0" w:color="auto"/>
      </w:divBdr>
    </w:div>
    <w:div w:id="1277758380">
      <w:bodyDiv w:val="1"/>
      <w:marLeft w:val="0"/>
      <w:marRight w:val="0"/>
      <w:marTop w:val="0"/>
      <w:marBottom w:val="0"/>
      <w:divBdr>
        <w:top w:val="none" w:sz="0" w:space="0" w:color="auto"/>
        <w:left w:val="none" w:sz="0" w:space="0" w:color="auto"/>
        <w:bottom w:val="none" w:sz="0" w:space="0" w:color="auto"/>
        <w:right w:val="none" w:sz="0" w:space="0" w:color="auto"/>
      </w:divBdr>
    </w:div>
    <w:div w:id="1344043683">
      <w:bodyDiv w:val="1"/>
      <w:marLeft w:val="0"/>
      <w:marRight w:val="0"/>
      <w:marTop w:val="0"/>
      <w:marBottom w:val="0"/>
      <w:divBdr>
        <w:top w:val="none" w:sz="0" w:space="0" w:color="auto"/>
        <w:left w:val="none" w:sz="0" w:space="0" w:color="auto"/>
        <w:bottom w:val="none" w:sz="0" w:space="0" w:color="auto"/>
        <w:right w:val="none" w:sz="0" w:space="0" w:color="auto"/>
      </w:divBdr>
    </w:div>
    <w:div w:id="1402632653">
      <w:bodyDiv w:val="1"/>
      <w:marLeft w:val="0"/>
      <w:marRight w:val="0"/>
      <w:marTop w:val="0"/>
      <w:marBottom w:val="0"/>
      <w:divBdr>
        <w:top w:val="none" w:sz="0" w:space="0" w:color="auto"/>
        <w:left w:val="none" w:sz="0" w:space="0" w:color="auto"/>
        <w:bottom w:val="none" w:sz="0" w:space="0" w:color="auto"/>
        <w:right w:val="none" w:sz="0" w:space="0" w:color="auto"/>
      </w:divBdr>
    </w:div>
    <w:div w:id="1457289483">
      <w:bodyDiv w:val="1"/>
      <w:marLeft w:val="0"/>
      <w:marRight w:val="0"/>
      <w:marTop w:val="0"/>
      <w:marBottom w:val="0"/>
      <w:divBdr>
        <w:top w:val="none" w:sz="0" w:space="0" w:color="auto"/>
        <w:left w:val="none" w:sz="0" w:space="0" w:color="auto"/>
        <w:bottom w:val="none" w:sz="0" w:space="0" w:color="auto"/>
        <w:right w:val="none" w:sz="0" w:space="0" w:color="auto"/>
      </w:divBdr>
    </w:div>
    <w:div w:id="1474759210">
      <w:bodyDiv w:val="1"/>
      <w:marLeft w:val="0"/>
      <w:marRight w:val="0"/>
      <w:marTop w:val="0"/>
      <w:marBottom w:val="0"/>
      <w:divBdr>
        <w:top w:val="none" w:sz="0" w:space="0" w:color="auto"/>
        <w:left w:val="none" w:sz="0" w:space="0" w:color="auto"/>
        <w:bottom w:val="none" w:sz="0" w:space="0" w:color="auto"/>
        <w:right w:val="none" w:sz="0" w:space="0" w:color="auto"/>
      </w:divBdr>
    </w:div>
    <w:div w:id="1788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osz.hu/doc/UN_DraftGC_Education_MAGYARUL%202120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osz.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osz@meosz.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osz.hu/new_index_0v_hirek_one.php?mcs=meoszvezer&amp;rec_azonosit=d_meoszvezer_hirek_27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84CE-5E48-46A6-8F98-B97DCEF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2650</Words>
  <Characters>18291</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Gurbai Sándor dr.</cp:lastModifiedBy>
  <cp:revision>19</cp:revision>
  <dcterms:created xsi:type="dcterms:W3CDTF">2016-01-05T07:55:00Z</dcterms:created>
  <dcterms:modified xsi:type="dcterms:W3CDTF">2016-01-06T16:01:00Z</dcterms:modified>
</cp:coreProperties>
</file>